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4194"/>
        <w:gridCol w:w="92"/>
        <w:gridCol w:w="4740"/>
      </w:tblGrid>
      <w:tr w:rsidR="00380A6A" w:rsidRPr="00380A6A" w:rsidTr="00380A6A">
        <w:tc>
          <w:tcPr>
            <w:tcW w:w="2300" w:type="pct"/>
            <w:tcMar>
              <w:top w:w="45" w:type="dxa"/>
              <w:left w:w="45" w:type="dxa"/>
              <w:bottom w:w="45" w:type="dxa"/>
              <w:right w:w="45" w:type="dxa"/>
            </w:tcMar>
            <w:hideMark/>
          </w:tcPr>
          <w:p w:rsidR="00380A6A" w:rsidRPr="00380A6A" w:rsidRDefault="00380A6A" w:rsidP="00380A6A">
            <w:pPr>
              <w:spacing w:after="0" w:line="240" w:lineRule="auto"/>
              <w:jc w:val="center"/>
              <w:rPr>
                <w:rFonts w:eastAsia="Times New Roman" w:cs="Times New Roman"/>
                <w:color w:val="222222"/>
                <w:sz w:val="24"/>
                <w:lang w:eastAsia="vi-VN"/>
              </w:rPr>
            </w:pPr>
            <w:r w:rsidRPr="00380A6A">
              <w:rPr>
                <w:rFonts w:eastAsia="Times New Roman" w:cs="Times New Roman"/>
                <w:color w:val="222222"/>
                <w:sz w:val="24"/>
                <w:lang w:eastAsia="vi-VN"/>
              </w:rPr>
              <w:t>BỘ TÀI CHÍNH</w:t>
            </w:r>
          </w:p>
          <w:p w:rsidR="00380A6A" w:rsidRPr="00380A6A" w:rsidRDefault="00380A6A" w:rsidP="00380A6A">
            <w:pPr>
              <w:spacing w:after="0" w:line="240" w:lineRule="auto"/>
              <w:jc w:val="center"/>
              <w:rPr>
                <w:rFonts w:eastAsia="Times New Roman" w:cs="Times New Roman"/>
                <w:color w:val="222222"/>
                <w:sz w:val="24"/>
                <w:lang w:eastAsia="vi-VN"/>
              </w:rPr>
            </w:pPr>
            <w:r w:rsidRPr="00380A6A">
              <w:rPr>
                <w:rFonts w:eastAsia="Times New Roman" w:cs="Times New Roman"/>
                <w:b/>
                <w:bCs/>
                <w:color w:val="222222"/>
                <w:sz w:val="24"/>
                <w:lang w:eastAsia="vi-VN"/>
              </w:rPr>
              <w:t>CỤC THUẾ</w:t>
            </w:r>
            <w:r w:rsidRPr="00380A6A">
              <w:rPr>
                <w:rFonts w:eastAsia="Times New Roman" w:cs="Times New Roman"/>
                <w:color w:val="222222"/>
                <w:sz w:val="24"/>
                <w:lang w:eastAsia="vi-VN"/>
              </w:rPr>
              <w:br/>
            </w:r>
            <w:r w:rsidRPr="00380A6A">
              <w:rPr>
                <w:rFonts w:eastAsia="Times New Roman" w:cs="Times New Roman"/>
                <w:color w:val="222222"/>
                <w:sz w:val="24"/>
                <w:vertAlign w:val="superscript"/>
                <w:lang w:eastAsia="vi-VN"/>
              </w:rPr>
              <w:t>___________</w:t>
            </w:r>
            <w:r w:rsidRPr="00380A6A">
              <w:rPr>
                <w:rFonts w:eastAsia="Times New Roman" w:cs="Times New Roman"/>
                <w:color w:val="222222"/>
                <w:sz w:val="24"/>
                <w:lang w:eastAsia="vi-VN"/>
              </w:rPr>
              <w:br/>
              <w:t> </w:t>
            </w:r>
          </w:p>
          <w:p w:rsidR="00380A6A" w:rsidRPr="00380A6A" w:rsidRDefault="00380A6A" w:rsidP="00380A6A">
            <w:pPr>
              <w:spacing w:after="0" w:line="240" w:lineRule="auto"/>
              <w:jc w:val="center"/>
              <w:rPr>
                <w:rFonts w:eastAsia="Times New Roman" w:cs="Times New Roman"/>
                <w:color w:val="222222"/>
                <w:sz w:val="24"/>
                <w:lang w:eastAsia="vi-VN"/>
              </w:rPr>
            </w:pPr>
            <w:r w:rsidRPr="00380A6A">
              <w:rPr>
                <w:rFonts w:eastAsia="Times New Roman" w:cs="Times New Roman"/>
                <w:color w:val="222222"/>
                <w:sz w:val="24"/>
                <w:lang w:eastAsia="vi-VN"/>
              </w:rPr>
              <w:t>Số: 3422/CT-NVT</w:t>
            </w:r>
            <w:r w:rsidRPr="00380A6A">
              <w:rPr>
                <w:rFonts w:eastAsia="Times New Roman" w:cs="Times New Roman"/>
                <w:color w:val="222222"/>
                <w:sz w:val="24"/>
                <w:lang w:eastAsia="vi-VN"/>
              </w:rPr>
              <w:br/>
            </w:r>
            <w:r w:rsidRPr="00380A6A">
              <w:rPr>
                <w:rFonts w:eastAsia="Times New Roman" w:cs="Times New Roman"/>
                <w:color w:val="222222"/>
                <w:sz w:val="24"/>
                <w:lang w:eastAsia="vi-VN"/>
              </w:rPr>
              <w:br/>
              <w:t>V/v cá nhân đã được cấp nhiều</w:t>
            </w:r>
            <w:r w:rsidRPr="00380A6A">
              <w:rPr>
                <w:rFonts w:eastAsia="Times New Roman" w:cs="Times New Roman"/>
                <w:color w:val="222222"/>
                <w:sz w:val="24"/>
                <w:lang w:eastAsia="vi-VN"/>
              </w:rPr>
              <w:br/>
              <w:t>MST và cập nhật số định danh</w:t>
            </w:r>
            <w:r w:rsidRPr="00380A6A">
              <w:rPr>
                <w:rFonts w:eastAsia="Times New Roman" w:cs="Times New Roman"/>
                <w:color w:val="222222"/>
                <w:sz w:val="24"/>
                <w:lang w:eastAsia="vi-VN"/>
              </w:rPr>
              <w:br/>
              <w:t>cá nhân</w:t>
            </w:r>
          </w:p>
        </w:tc>
        <w:tc>
          <w:tcPr>
            <w:tcW w:w="2650" w:type="pct"/>
            <w:gridSpan w:val="2"/>
            <w:tcMar>
              <w:top w:w="45" w:type="dxa"/>
              <w:left w:w="45" w:type="dxa"/>
              <w:bottom w:w="45" w:type="dxa"/>
              <w:right w:w="45" w:type="dxa"/>
            </w:tcMar>
            <w:hideMark/>
          </w:tcPr>
          <w:p w:rsidR="00380A6A" w:rsidRPr="00380A6A" w:rsidRDefault="00380A6A" w:rsidP="00380A6A">
            <w:pPr>
              <w:spacing w:after="0" w:line="240" w:lineRule="auto"/>
              <w:jc w:val="center"/>
              <w:rPr>
                <w:rFonts w:eastAsia="Times New Roman" w:cs="Times New Roman"/>
                <w:color w:val="222222"/>
                <w:sz w:val="24"/>
                <w:lang w:eastAsia="vi-VN"/>
              </w:rPr>
            </w:pPr>
            <w:r w:rsidRPr="00380A6A">
              <w:rPr>
                <w:rFonts w:eastAsia="Times New Roman" w:cs="Times New Roman"/>
                <w:b/>
                <w:bCs/>
                <w:color w:val="222222"/>
                <w:sz w:val="24"/>
                <w:lang w:eastAsia="vi-VN"/>
              </w:rPr>
              <w:t>CỘNG HÒA XÃ HỘI CHỦ NGHĨA VIỆT NAM</w:t>
            </w:r>
            <w:r w:rsidRPr="00380A6A">
              <w:rPr>
                <w:rFonts w:eastAsia="Times New Roman" w:cs="Times New Roman"/>
                <w:b/>
                <w:bCs/>
                <w:color w:val="222222"/>
                <w:sz w:val="24"/>
                <w:lang w:eastAsia="vi-VN"/>
              </w:rPr>
              <w:br/>
              <w:t>Độc lập – Tự do – Hạnh phúc</w:t>
            </w:r>
            <w:r w:rsidRPr="00380A6A">
              <w:rPr>
                <w:rFonts w:eastAsia="Times New Roman" w:cs="Times New Roman"/>
                <w:b/>
                <w:bCs/>
                <w:color w:val="222222"/>
                <w:sz w:val="24"/>
                <w:lang w:eastAsia="vi-VN"/>
              </w:rPr>
              <w:br/>
            </w:r>
            <w:r w:rsidRPr="00380A6A">
              <w:rPr>
                <w:rFonts w:eastAsia="Times New Roman" w:cs="Times New Roman"/>
                <w:b/>
                <w:bCs/>
                <w:color w:val="222222"/>
                <w:sz w:val="24"/>
                <w:vertAlign w:val="superscript"/>
                <w:lang w:eastAsia="vi-VN"/>
              </w:rPr>
              <w:t>_____________________</w:t>
            </w:r>
            <w:r w:rsidRPr="00380A6A">
              <w:rPr>
                <w:rFonts w:eastAsia="Times New Roman" w:cs="Times New Roman"/>
                <w:color w:val="222222"/>
                <w:sz w:val="24"/>
                <w:lang w:eastAsia="vi-VN"/>
              </w:rPr>
              <w:br/>
            </w:r>
            <w:r w:rsidRPr="00380A6A">
              <w:rPr>
                <w:rFonts w:eastAsia="Times New Roman" w:cs="Times New Roman"/>
                <w:i/>
                <w:iCs/>
                <w:color w:val="222222"/>
                <w:sz w:val="24"/>
                <w:lang w:eastAsia="vi-VN"/>
              </w:rPr>
              <w:t>Hà Nội, ngày 27 tháng 5 năm 2026</w:t>
            </w:r>
          </w:p>
        </w:tc>
      </w:tr>
      <w:tr w:rsidR="00380A6A" w:rsidRPr="00380A6A" w:rsidTr="00380A6A">
        <w:tc>
          <w:tcPr>
            <w:tcW w:w="2350" w:type="pct"/>
            <w:gridSpan w:val="2"/>
            <w:tcMar>
              <w:top w:w="45" w:type="dxa"/>
              <w:left w:w="45" w:type="dxa"/>
              <w:bottom w:w="45" w:type="dxa"/>
              <w:right w:w="45" w:type="dxa"/>
            </w:tcMar>
            <w:hideMark/>
          </w:tcPr>
          <w:p w:rsidR="00380A6A" w:rsidRPr="00380A6A" w:rsidRDefault="00380A6A" w:rsidP="00380A6A">
            <w:pPr>
              <w:spacing w:after="0" w:line="240" w:lineRule="auto"/>
              <w:jc w:val="right"/>
              <w:rPr>
                <w:rFonts w:eastAsia="Times New Roman" w:cs="Times New Roman"/>
                <w:color w:val="222222"/>
                <w:sz w:val="24"/>
                <w:lang w:eastAsia="vi-VN"/>
              </w:rPr>
            </w:pPr>
            <w:r w:rsidRPr="00380A6A">
              <w:rPr>
                <w:rFonts w:eastAsia="Times New Roman" w:cs="Times New Roman"/>
                <w:color w:val="222222"/>
                <w:sz w:val="24"/>
                <w:lang w:eastAsia="vi-VN"/>
              </w:rPr>
              <w:t>Kính gửi:</w:t>
            </w:r>
            <w:r w:rsidRPr="00380A6A">
              <w:rPr>
                <w:rFonts w:eastAsia="Times New Roman" w:cs="Times New Roman"/>
                <w:color w:val="222222"/>
                <w:sz w:val="24"/>
                <w:lang w:eastAsia="vi-VN"/>
              </w:rPr>
              <w:br/>
              <w:t> </w:t>
            </w:r>
          </w:p>
        </w:tc>
        <w:tc>
          <w:tcPr>
            <w:tcW w:w="2600" w:type="pct"/>
            <w:tcMar>
              <w:top w:w="45" w:type="dxa"/>
              <w:left w:w="45" w:type="dxa"/>
              <w:bottom w:w="45" w:type="dxa"/>
              <w:right w:w="45" w:type="dxa"/>
            </w:tcMar>
            <w:hideMark/>
          </w:tcPr>
          <w:p w:rsidR="00380A6A" w:rsidRPr="00380A6A" w:rsidRDefault="00380A6A" w:rsidP="00380A6A">
            <w:pPr>
              <w:spacing w:after="0" w:line="240" w:lineRule="auto"/>
              <w:rPr>
                <w:rFonts w:eastAsia="Times New Roman" w:cs="Times New Roman"/>
                <w:color w:val="222222"/>
                <w:sz w:val="24"/>
                <w:lang w:eastAsia="vi-VN"/>
              </w:rPr>
            </w:pPr>
            <w:r w:rsidRPr="00380A6A">
              <w:rPr>
                <w:rFonts w:eastAsia="Times New Roman" w:cs="Times New Roman"/>
                <w:color w:val="222222"/>
                <w:sz w:val="24"/>
                <w:lang w:eastAsia="vi-VN"/>
              </w:rPr>
              <w:t>- Thuế các tỉnh, thành phố;</w:t>
            </w:r>
            <w:r w:rsidRPr="00380A6A">
              <w:rPr>
                <w:rFonts w:eastAsia="Times New Roman" w:cs="Times New Roman"/>
                <w:color w:val="222222"/>
                <w:sz w:val="24"/>
                <w:lang w:eastAsia="vi-VN"/>
              </w:rPr>
              <w:br/>
              <w:t>- Chi cục Thuế doanh nghiệp lớn;</w:t>
            </w:r>
            <w:r w:rsidRPr="00380A6A">
              <w:rPr>
                <w:rFonts w:eastAsia="Times New Roman" w:cs="Times New Roman"/>
                <w:color w:val="222222"/>
                <w:sz w:val="24"/>
                <w:lang w:eastAsia="vi-VN"/>
              </w:rPr>
              <w:br/>
              <w:t>- Chi cục Thuế thương mại điện tử.</w:t>
            </w:r>
            <w:r w:rsidRPr="00380A6A">
              <w:rPr>
                <w:rFonts w:eastAsia="Times New Roman" w:cs="Times New Roman"/>
                <w:color w:val="222222"/>
                <w:sz w:val="24"/>
                <w:lang w:eastAsia="vi-VN"/>
              </w:rPr>
              <w:br/>
            </w:r>
            <w:r w:rsidRPr="00380A6A">
              <w:rPr>
                <w:rFonts w:eastAsia="Times New Roman" w:cs="Times New Roman"/>
                <w:color w:val="222222"/>
                <w:sz w:val="24"/>
                <w:lang w:eastAsia="vi-VN"/>
              </w:rPr>
              <w:br/>
            </w:r>
            <w:r w:rsidRPr="00380A6A">
              <w:rPr>
                <w:rFonts w:eastAsia="Times New Roman" w:cs="Times New Roman"/>
                <w:color w:val="222222"/>
                <w:sz w:val="24"/>
                <w:lang w:eastAsia="vi-VN"/>
              </w:rPr>
              <w:br/>
              <w:t> </w:t>
            </w:r>
          </w:p>
        </w:tc>
      </w:tr>
    </w:tbl>
    <w:p w:rsidR="00380A6A" w:rsidRPr="00380A6A" w:rsidRDefault="00380A6A" w:rsidP="00380A6A">
      <w:pPr>
        <w:spacing w:after="0" w:line="240" w:lineRule="auto"/>
        <w:ind w:firstLine="720"/>
        <w:jc w:val="both"/>
        <w:rPr>
          <w:rFonts w:ascii="Arial" w:eastAsia="Times New Roman" w:hAnsi="Arial" w:cs="Arial"/>
          <w:color w:val="222222"/>
          <w:sz w:val="24"/>
          <w:lang w:eastAsia="vi-VN"/>
        </w:rPr>
      </w:pPr>
      <w:r w:rsidRPr="00380A6A">
        <w:rPr>
          <w:rFonts w:ascii="Arial" w:eastAsia="Times New Roman" w:hAnsi="Arial" w:cs="Arial"/>
          <w:color w:val="222222"/>
          <w:sz w:val="24"/>
          <w:lang w:eastAsia="vi-VN"/>
        </w:rPr>
        <w:t>Trong quá trình triển khai công tác quản lý đăng ký thuế, Cục Thuế nhận thấy một số cơ quan thuế còn gặp vướng mắc khi xử lý đối với trường hợp cá nhân đã được cấp nhiều hơn một mã số thuế (MST) và việc cập nhật số định danh cá nhân đối với các mã số thuế có thông tin chưa khớp đúng với Cơ sở dữ liệu quốc gia về dân cư (CSDLQGDC). Để thống nhất thực hiện, Cục Thuế có ý kiến như sau:</w:t>
      </w:r>
    </w:p>
    <w:p w:rsidR="00380A6A" w:rsidRPr="00380A6A" w:rsidRDefault="00380A6A" w:rsidP="00380A6A">
      <w:pPr>
        <w:spacing w:after="120" w:line="240" w:lineRule="auto"/>
        <w:rPr>
          <w:rFonts w:ascii="Arial" w:eastAsia="Times New Roman" w:hAnsi="Arial" w:cs="Arial"/>
          <w:color w:val="222222"/>
          <w:sz w:val="24"/>
          <w:lang w:eastAsia="vi-VN"/>
        </w:rPr>
      </w:pPr>
      <w:r w:rsidRPr="00380A6A">
        <w:rPr>
          <w:rFonts w:ascii="Arial" w:eastAsia="Times New Roman" w:hAnsi="Arial" w:cs="Arial"/>
          <w:color w:val="222222"/>
          <w:sz w:val="24"/>
          <w:lang w:eastAsia="vi-VN"/>
        </w:rPr>
        <w:t>1. Về việc cá nhân đã được cấp nhiều hơn một mã số thuế</w:t>
      </w:r>
    </w:p>
    <w:p w:rsidR="00380A6A" w:rsidRPr="00380A6A" w:rsidRDefault="00380A6A" w:rsidP="00380A6A">
      <w:pPr>
        <w:spacing w:after="0" w:line="240" w:lineRule="auto"/>
        <w:rPr>
          <w:rFonts w:ascii="Arial" w:eastAsia="Times New Roman" w:hAnsi="Arial" w:cs="Arial"/>
          <w:color w:val="222222"/>
          <w:sz w:val="24"/>
          <w:lang w:eastAsia="vi-VN"/>
        </w:rPr>
      </w:pPr>
      <w:r w:rsidRPr="00380A6A">
        <w:rPr>
          <w:rFonts w:ascii="Arial" w:eastAsia="Times New Roman" w:hAnsi="Arial" w:cs="Arial"/>
          <w:color w:val="222222"/>
          <w:sz w:val="24"/>
          <w:lang w:eastAsia="vi-VN"/>
        </w:rPr>
        <w:t>1.1. Nguyên tắc thực hiện</w:t>
      </w:r>
    </w:p>
    <w:p w:rsidR="00380A6A" w:rsidRPr="00380A6A" w:rsidRDefault="00380A6A" w:rsidP="00380A6A">
      <w:pPr>
        <w:spacing w:after="120" w:line="240" w:lineRule="auto"/>
        <w:rPr>
          <w:rFonts w:ascii="Arial" w:eastAsia="Times New Roman" w:hAnsi="Arial" w:cs="Arial"/>
          <w:color w:val="222222"/>
          <w:sz w:val="24"/>
          <w:lang w:eastAsia="vi-VN"/>
        </w:rPr>
      </w:pPr>
      <w:r w:rsidRPr="00380A6A">
        <w:rPr>
          <w:rFonts w:ascii="Arial" w:eastAsia="Times New Roman" w:hAnsi="Arial" w:cs="Arial"/>
          <w:color w:val="222222"/>
          <w:sz w:val="24"/>
          <w:lang w:eastAsia="vi-VN"/>
        </w:rPr>
        <w:t>Đề nghị các cơ quan thuế thực hiện đúng, đồng thời tăng cường tuyên truyền, hướng dẫn người nộp thuế thực hiện đúng theo quy định tại </w:t>
      </w:r>
      <w:r w:rsidRPr="00380A6A">
        <w:rPr>
          <w:rFonts w:ascii="Arial" w:eastAsia="Times New Roman" w:hAnsi="Arial" w:cs="Arial"/>
          <w:color w:val="A60B0A"/>
          <w:sz w:val="24"/>
          <w:lang w:eastAsia="vi-VN"/>
        </w:rPr>
        <w:t>Điều 39 Thông tư số 86/2024/TT-BTC</w:t>
      </w:r>
      <w:r w:rsidRPr="00380A6A">
        <w:rPr>
          <w:rFonts w:ascii="Arial" w:eastAsia="Times New Roman" w:hAnsi="Arial" w:cs="Arial"/>
          <w:color w:val="222222"/>
          <w:sz w:val="24"/>
          <w:lang w:eastAsia="vi-VN"/>
        </w:rPr>
        <w:t> ngày 23/12/2024 của Bộ Tài chính quy định về đăng ký thuế. Một số nội dung cần lưu ý gồm:</w:t>
      </w:r>
    </w:p>
    <w:p w:rsidR="00380A6A" w:rsidRPr="00380A6A" w:rsidRDefault="00380A6A" w:rsidP="00380A6A">
      <w:pPr>
        <w:spacing w:after="120" w:line="240" w:lineRule="auto"/>
        <w:rPr>
          <w:rFonts w:ascii="Arial" w:eastAsia="Times New Roman" w:hAnsi="Arial" w:cs="Arial"/>
          <w:color w:val="222222"/>
          <w:sz w:val="24"/>
          <w:lang w:eastAsia="vi-VN"/>
        </w:rPr>
      </w:pPr>
      <w:r w:rsidRPr="00380A6A">
        <w:rPr>
          <w:rFonts w:ascii="Arial" w:eastAsia="Times New Roman" w:hAnsi="Arial" w:cs="Arial"/>
          <w:color w:val="222222"/>
          <w:sz w:val="24"/>
          <w:lang w:eastAsia="vi-VN"/>
        </w:rPr>
        <w:t>a) Hệ thống thông tin quản lý thuế tự động tích hợp các MST có thông tin khớp đúng với CSDLQGDC vào số định danh cá nhân, hợp nhất dữ liệu thuế của người nộp thuế theo số định danh cá nhân.</w:t>
      </w:r>
    </w:p>
    <w:p w:rsidR="00380A6A" w:rsidRPr="00380A6A" w:rsidRDefault="00380A6A" w:rsidP="00380A6A">
      <w:pPr>
        <w:spacing w:after="120" w:line="240" w:lineRule="auto"/>
        <w:rPr>
          <w:rFonts w:ascii="Arial" w:eastAsia="Times New Roman" w:hAnsi="Arial" w:cs="Arial"/>
          <w:color w:val="222222"/>
          <w:sz w:val="24"/>
          <w:lang w:eastAsia="vi-VN"/>
        </w:rPr>
      </w:pPr>
      <w:r w:rsidRPr="00380A6A">
        <w:rPr>
          <w:rFonts w:ascii="Arial" w:eastAsia="Times New Roman" w:hAnsi="Arial" w:cs="Arial"/>
          <w:color w:val="222222"/>
          <w:sz w:val="24"/>
          <w:lang w:eastAsia="vi-VN"/>
        </w:rPr>
        <w:t>b) Đối với các MST có thông tin chưa khớp đúng với CSDLQGDC (MST có trạng thái 10 “MST chờ cập nhật thông tin số định danh cá nhân”), người nộp thuế cần thực hiện thủ tục thay đổi thông tin đăng ký thuế để cập nhật số định danh cá nhân cho các MST này để được tích hợp đầy đủ dữ liệu thuế theo số định danh cá nhân.</w:t>
      </w:r>
    </w:p>
    <w:p w:rsidR="00380A6A" w:rsidRPr="00380A6A" w:rsidRDefault="00380A6A" w:rsidP="00380A6A">
      <w:pPr>
        <w:spacing w:after="120" w:line="240" w:lineRule="auto"/>
        <w:rPr>
          <w:rFonts w:ascii="Arial" w:eastAsia="Times New Roman" w:hAnsi="Arial" w:cs="Arial"/>
          <w:color w:val="222222"/>
          <w:sz w:val="24"/>
          <w:lang w:eastAsia="vi-VN"/>
        </w:rPr>
      </w:pPr>
      <w:r w:rsidRPr="00380A6A">
        <w:rPr>
          <w:rFonts w:ascii="Arial" w:eastAsia="Times New Roman" w:hAnsi="Arial" w:cs="Arial"/>
          <w:color w:val="222222"/>
          <w:sz w:val="24"/>
          <w:lang w:eastAsia="vi-VN"/>
        </w:rPr>
        <w:t>c) Cơ quan thuế không yêu cầu người nộp thuế thực hiện thủ tục đóng các MST đã cấp sau khi đã hoàn thành việc cập nhật thông tin số định danh cá nhân khớp đúng với CSDLQGDC. Các MST sau khi tích hợp vào số định danh cá nhân sẽ được xử lý theo hướng dẫn tại </w:t>
      </w:r>
      <w:r w:rsidRPr="00380A6A">
        <w:rPr>
          <w:rFonts w:ascii="Arial" w:eastAsia="Times New Roman" w:hAnsi="Arial" w:cs="Arial"/>
          <w:color w:val="A60B0A"/>
          <w:sz w:val="24"/>
          <w:lang w:eastAsia="vi-VN"/>
        </w:rPr>
        <w:t>điểm 1.2 công văn này</w:t>
      </w:r>
      <w:r w:rsidRPr="00380A6A">
        <w:rPr>
          <w:rFonts w:ascii="Arial" w:eastAsia="Times New Roman" w:hAnsi="Arial" w:cs="Arial"/>
          <w:color w:val="222222"/>
          <w:sz w:val="24"/>
          <w:lang w:eastAsia="vi-VN"/>
        </w:rPr>
        <w:t>.</w:t>
      </w:r>
    </w:p>
    <w:p w:rsidR="00380A6A" w:rsidRPr="00380A6A" w:rsidRDefault="00380A6A" w:rsidP="00380A6A">
      <w:pPr>
        <w:spacing w:after="120" w:line="240" w:lineRule="auto"/>
        <w:rPr>
          <w:rFonts w:ascii="Arial" w:eastAsia="Times New Roman" w:hAnsi="Arial" w:cs="Arial"/>
          <w:color w:val="222222"/>
          <w:sz w:val="24"/>
          <w:lang w:eastAsia="vi-VN"/>
        </w:rPr>
      </w:pPr>
      <w:r w:rsidRPr="00380A6A">
        <w:rPr>
          <w:rFonts w:ascii="Arial" w:eastAsia="Times New Roman" w:hAnsi="Arial" w:cs="Arial"/>
          <w:color w:val="222222"/>
          <w:sz w:val="24"/>
          <w:lang w:eastAsia="vi-VN"/>
        </w:rPr>
        <w:t>d) Sau khi MST đã được tích hợp vào số định danh cá nhân thì các hóa đơn, chứng từ, hồ sơ thuế, giấy tờ có giá trị pháp lý khác đã lập có sử dụng thông tin MST của cá nhân tiếp tục được sử dụng để thực hiện các thủ tục hành chính về thuế, chứng minh việc thực hiện nghĩa vụ thuế mà không phải điều chỉnh thông tin MST trên hóa đơn, chứng từ, hồ sơ thuế sang số định danh cá nhân.</w:t>
      </w:r>
    </w:p>
    <w:p w:rsidR="00380A6A" w:rsidRPr="00380A6A" w:rsidRDefault="00380A6A" w:rsidP="00380A6A">
      <w:pPr>
        <w:spacing w:after="120" w:line="240" w:lineRule="auto"/>
        <w:rPr>
          <w:rFonts w:ascii="Arial" w:eastAsia="Times New Roman" w:hAnsi="Arial" w:cs="Arial"/>
          <w:color w:val="222222"/>
          <w:sz w:val="24"/>
          <w:lang w:eastAsia="vi-VN"/>
        </w:rPr>
      </w:pPr>
      <w:r w:rsidRPr="00380A6A">
        <w:rPr>
          <w:rFonts w:ascii="Arial" w:eastAsia="Times New Roman" w:hAnsi="Arial" w:cs="Arial"/>
          <w:color w:val="222222"/>
          <w:sz w:val="24"/>
          <w:lang w:eastAsia="vi-VN"/>
        </w:rPr>
        <w:t>1.2. Cách thức hợp nhất và xử lý trên Hệ thống thông tin quản lý thuế</w:t>
      </w:r>
    </w:p>
    <w:p w:rsidR="00380A6A" w:rsidRPr="00380A6A" w:rsidRDefault="00380A6A" w:rsidP="00380A6A">
      <w:pPr>
        <w:spacing w:after="120" w:line="240" w:lineRule="auto"/>
        <w:rPr>
          <w:rFonts w:ascii="Arial" w:eastAsia="Times New Roman" w:hAnsi="Arial" w:cs="Arial"/>
          <w:color w:val="222222"/>
          <w:sz w:val="24"/>
          <w:lang w:eastAsia="vi-VN"/>
        </w:rPr>
      </w:pPr>
      <w:r w:rsidRPr="00380A6A">
        <w:rPr>
          <w:rFonts w:ascii="Arial" w:eastAsia="Times New Roman" w:hAnsi="Arial" w:cs="Arial"/>
          <w:color w:val="222222"/>
          <w:sz w:val="24"/>
          <w:lang w:eastAsia="vi-VN"/>
        </w:rPr>
        <w:t>a) Việc hợp nhất đảm bảo không làm mất thông tin lịch sử, không làm sai lệch nghĩa vụ thuế đã phát sinh của người nộp thuế trên Hệ thống thông tin quản lý thuế.</w:t>
      </w:r>
    </w:p>
    <w:p w:rsidR="00380A6A" w:rsidRPr="00380A6A" w:rsidRDefault="00380A6A" w:rsidP="00380A6A">
      <w:pPr>
        <w:spacing w:after="0" w:line="240" w:lineRule="auto"/>
        <w:ind w:firstLine="720"/>
        <w:jc w:val="both"/>
        <w:rPr>
          <w:rFonts w:ascii="Arial" w:eastAsia="Times New Roman" w:hAnsi="Arial" w:cs="Arial"/>
          <w:color w:val="222222"/>
          <w:sz w:val="24"/>
          <w:lang w:eastAsia="vi-VN"/>
        </w:rPr>
      </w:pPr>
      <w:r w:rsidRPr="00380A6A">
        <w:rPr>
          <w:rFonts w:ascii="Arial" w:eastAsia="Times New Roman" w:hAnsi="Arial" w:cs="Arial"/>
          <w:color w:val="222222"/>
          <w:sz w:val="24"/>
          <w:lang w:eastAsia="vi-VN"/>
        </w:rPr>
        <w:lastRenderedPageBreak/>
        <w:t>b) Sau khi hợp nhất, số định danh cá nhân là MST duy nhất của người nộp thuế để dùng trong các văn bản, thông báo, giao dịch giữa cơ quan thuế với người nộp thuế và các cơ quan, tổ chức, cá nhân khác có liên quan. Việc tổng hợp thông tin, bù trừ nghĩa vụ thuế của người nộp thuế thực hiện theo số định danh cá nhân.</w:t>
      </w:r>
    </w:p>
    <w:p w:rsidR="00380A6A" w:rsidRPr="00380A6A" w:rsidRDefault="00380A6A" w:rsidP="00380A6A">
      <w:pPr>
        <w:spacing w:after="0" w:line="240" w:lineRule="auto"/>
        <w:ind w:firstLine="720"/>
        <w:jc w:val="both"/>
        <w:rPr>
          <w:rFonts w:ascii="Arial" w:eastAsia="Times New Roman" w:hAnsi="Arial" w:cs="Arial"/>
          <w:color w:val="222222"/>
          <w:sz w:val="24"/>
          <w:lang w:eastAsia="vi-VN"/>
        </w:rPr>
      </w:pPr>
      <w:r w:rsidRPr="00380A6A">
        <w:rPr>
          <w:rFonts w:ascii="Arial" w:eastAsia="Times New Roman" w:hAnsi="Arial" w:cs="Arial"/>
          <w:color w:val="222222"/>
          <w:sz w:val="24"/>
          <w:lang w:eastAsia="vi-VN"/>
        </w:rPr>
        <w:t>*Lưu ý dành cho cơ quan thuế: Hệ thống thông tin quản lý thuế vẫn duy trì trường thông tin “Mã số thuế” do Hệ thống tự sinh để phục vụ xử lý các nghiệp vụ trong nội bộ ngành thuế (sau đây gọi là “MST nội bộ”). Trường hợp cá nhân đã được cấp nhiều hơn một MST và các MST đã được cập nhật thông tin số định danh cá nhân khớp đúng với CSDLQGDC, các MST đã cấp vẫn tồn tại trên Hệ thống và được xác định là “MST nội bộ”. Việc xử lý nghiệp vụ tại các “MST nội bộ” thực hiện theo nguyên tắc như sau:</w:t>
      </w:r>
    </w:p>
    <w:p w:rsidR="00380A6A" w:rsidRPr="00380A6A" w:rsidRDefault="00380A6A" w:rsidP="00380A6A">
      <w:pPr>
        <w:spacing w:after="0" w:line="240" w:lineRule="auto"/>
        <w:ind w:firstLine="720"/>
        <w:jc w:val="both"/>
        <w:rPr>
          <w:rFonts w:ascii="Arial" w:eastAsia="Times New Roman" w:hAnsi="Arial" w:cs="Arial"/>
          <w:color w:val="222222"/>
          <w:sz w:val="24"/>
          <w:lang w:eastAsia="vi-VN"/>
        </w:rPr>
      </w:pPr>
      <w:r w:rsidRPr="00380A6A">
        <w:rPr>
          <w:rFonts w:ascii="Arial" w:eastAsia="Times New Roman" w:hAnsi="Arial" w:cs="Arial"/>
          <w:color w:val="222222"/>
          <w:sz w:val="24"/>
          <w:lang w:eastAsia="vi-VN"/>
        </w:rPr>
        <w:t>- Hệ thống tự động đánh dấu 01 “MST nội bộ” để xác định cơ quan thuế quản lý trực tiếp người nộp thuế, đồng thời sử dụng để hạch toán các nghĩa vụ thuế phát sinh kể từ sau thời điểm hợp nhất.</w:t>
      </w:r>
    </w:p>
    <w:p w:rsidR="00380A6A" w:rsidRPr="00380A6A" w:rsidRDefault="00380A6A" w:rsidP="00380A6A">
      <w:pPr>
        <w:spacing w:after="0" w:line="240" w:lineRule="auto"/>
        <w:ind w:firstLine="720"/>
        <w:jc w:val="both"/>
        <w:rPr>
          <w:rFonts w:ascii="Arial" w:eastAsia="Times New Roman" w:hAnsi="Arial" w:cs="Arial"/>
          <w:color w:val="222222"/>
          <w:sz w:val="24"/>
          <w:lang w:eastAsia="vi-VN"/>
        </w:rPr>
      </w:pPr>
      <w:r w:rsidRPr="00380A6A">
        <w:rPr>
          <w:rFonts w:ascii="Arial" w:eastAsia="Times New Roman" w:hAnsi="Arial" w:cs="Arial"/>
          <w:color w:val="222222"/>
          <w:sz w:val="24"/>
          <w:lang w:eastAsia="vi-VN"/>
        </w:rPr>
        <w:t>- Các “MST nội bộ” không được đánh dấu: Hệ thống không hạch toán các nghĩa vụ thuế mới phát sinh vào các “MST nội bộ” không được đánh dấu. Các “MST nội bộ” này chỉ dùng cho các giao dịch xử lý bù trừ trong trường hợp còn nợ/nộp thừa và bị khóa lại không được tiếp tục sử dụng sau khi bù trừ hết nợ/nộp thừa trong Hệ thống.</w:t>
      </w:r>
    </w:p>
    <w:p w:rsidR="00380A6A" w:rsidRPr="00380A6A" w:rsidRDefault="00380A6A" w:rsidP="00380A6A">
      <w:pPr>
        <w:spacing w:after="0" w:line="240" w:lineRule="auto"/>
        <w:ind w:firstLine="720"/>
        <w:jc w:val="both"/>
        <w:rPr>
          <w:rFonts w:ascii="Arial" w:eastAsia="Times New Roman" w:hAnsi="Arial" w:cs="Arial"/>
          <w:color w:val="222222"/>
          <w:sz w:val="24"/>
          <w:lang w:eastAsia="vi-VN"/>
        </w:rPr>
      </w:pPr>
      <w:r w:rsidRPr="00380A6A">
        <w:rPr>
          <w:rFonts w:ascii="Arial" w:eastAsia="Times New Roman" w:hAnsi="Arial" w:cs="Arial"/>
          <w:color w:val="222222"/>
          <w:sz w:val="24"/>
          <w:lang w:eastAsia="vi-VN"/>
        </w:rPr>
        <w:t>- Nguyên tắc xác định “MST nội bộ” được đánh dấu trong trường hợp người nộp thuế có nhiều MST thực hiện theo thứ tự ưu tiên:</w:t>
      </w:r>
    </w:p>
    <w:p w:rsidR="00380A6A" w:rsidRPr="00380A6A" w:rsidRDefault="00380A6A" w:rsidP="00380A6A">
      <w:pPr>
        <w:spacing w:after="120" w:line="240" w:lineRule="auto"/>
        <w:ind w:firstLine="720"/>
        <w:jc w:val="both"/>
        <w:rPr>
          <w:rFonts w:ascii="Arial" w:eastAsia="Times New Roman" w:hAnsi="Arial" w:cs="Arial"/>
          <w:color w:val="222222"/>
          <w:sz w:val="24"/>
          <w:lang w:eastAsia="vi-VN"/>
        </w:rPr>
      </w:pPr>
      <w:r w:rsidRPr="00380A6A">
        <w:rPr>
          <w:rFonts w:ascii="Arial" w:eastAsia="Times New Roman" w:hAnsi="Arial" w:cs="Arial"/>
          <w:color w:val="222222"/>
          <w:sz w:val="24"/>
          <w:lang w:eastAsia="vi-VN"/>
        </w:rPr>
        <w:t> </w:t>
      </w:r>
    </w:p>
    <w:p w:rsidR="00380A6A" w:rsidRPr="00380A6A" w:rsidRDefault="00380A6A" w:rsidP="00380A6A">
      <w:pPr>
        <w:spacing w:after="120" w:line="240" w:lineRule="auto"/>
        <w:rPr>
          <w:rFonts w:ascii="Arial" w:eastAsia="Times New Roman" w:hAnsi="Arial" w:cs="Arial"/>
          <w:color w:val="222222"/>
          <w:sz w:val="24"/>
          <w:lang w:eastAsia="vi-VN"/>
        </w:rPr>
      </w:pPr>
      <w:r w:rsidRPr="00380A6A">
        <w:rPr>
          <w:rFonts w:ascii="Arial" w:eastAsia="Times New Roman" w:hAnsi="Arial" w:cs="Arial"/>
          <w:color w:val="222222"/>
          <w:sz w:val="24"/>
          <w:lang w:eastAsia="vi-VN"/>
        </w:rPr>
        <w:t>(i) Nếu người nộp thuế có ít nhất một MST là hộ kinh doanh, cá nhân kinh doanh (loại 0300, hoặc 0900 nhưng có MST 0310 trạng thái khác 01) thì Hệ thống đánh dấu cho MST là hộ kinh doanh, cá nhân kinh doanh như sau: Nếu chỉ có 01 MST còn nợ/nộp thừa, Hệ thống cập nhật đánh dấu cho MST này; Nếu có nhiều hơn 01 MST còn nợ/nộp thừa, Hệ thống cập nhật đánh dấu cho MST có ngày cấp nhỏ nhất (trường hợp ngày cấp MST trùng nhau thì chọn ngẫu nhiên MST).</w:t>
      </w:r>
    </w:p>
    <w:p w:rsidR="00380A6A" w:rsidRPr="00380A6A" w:rsidRDefault="00380A6A" w:rsidP="00380A6A">
      <w:pPr>
        <w:spacing w:after="120" w:line="240" w:lineRule="auto"/>
        <w:rPr>
          <w:rFonts w:ascii="Arial" w:eastAsia="Times New Roman" w:hAnsi="Arial" w:cs="Arial"/>
          <w:color w:val="222222"/>
          <w:sz w:val="24"/>
          <w:lang w:eastAsia="vi-VN"/>
        </w:rPr>
      </w:pPr>
      <w:r w:rsidRPr="00380A6A">
        <w:rPr>
          <w:rFonts w:ascii="Arial" w:eastAsia="Times New Roman" w:hAnsi="Arial" w:cs="Arial"/>
          <w:color w:val="222222"/>
          <w:sz w:val="24"/>
          <w:lang w:eastAsia="vi-VN"/>
        </w:rPr>
        <w:t>(ii) Đối với người nộp thuế không thuộc trường hợp (i), Hệ thống kiểm tra nếu có tờ khai thuế sử dụng đất phi nông nghiệp trạng thái khác hủy (trạng thái 07) và không phải chuyển nhượng toàn phần (trạng thái 18) thì đánh dấu cho MST có tờ khai thuế sử dụng đất phi nông nghiệp như sau: Nếu chỉ có 01 MST còn nợ/nộp thừa, Hệ thống cập nhật đánh dấu cho MST này; Nếu có nhiều hơn 01 MST còn nợ/nộp thừa, Hệ thống cập nhật đánh dấu cho MST có ngày cấp nhỏ nhất (trường hợp ngày cấp MST trùng nhau thì chọn ngẫu nhiên MST).</w:t>
      </w:r>
    </w:p>
    <w:p w:rsidR="00380A6A" w:rsidRPr="00380A6A" w:rsidRDefault="00380A6A" w:rsidP="00380A6A">
      <w:pPr>
        <w:spacing w:after="120" w:line="240" w:lineRule="auto"/>
        <w:rPr>
          <w:rFonts w:ascii="Arial" w:eastAsia="Times New Roman" w:hAnsi="Arial" w:cs="Arial"/>
          <w:color w:val="222222"/>
          <w:sz w:val="24"/>
          <w:lang w:eastAsia="vi-VN"/>
        </w:rPr>
      </w:pPr>
      <w:r w:rsidRPr="00380A6A">
        <w:rPr>
          <w:rFonts w:ascii="Arial" w:eastAsia="Times New Roman" w:hAnsi="Arial" w:cs="Arial"/>
          <w:color w:val="222222"/>
          <w:sz w:val="24"/>
          <w:lang w:eastAsia="vi-VN"/>
        </w:rPr>
        <w:t>(iii) Đối với người nộp thuế không thuộc trường hợp (i), (ii) nêu trên, nhưng có ít nhất 01 MST còn nợ/nộp thừa: Nếu chỉ có 01 MST còn nợ/nộp thừa, Hệ thống cập nhật đánh dấu cho MST này; Nếu có nhiều hơn 01 MST còn nợ/nộp thừa, Hệ thống cập nhật đánh dấu cho MST có ngày cấp nhỏ nhất (trường hợp ngày cấp MST trùng nhau thì chọn ngẫu nhiên MST).</w:t>
      </w:r>
    </w:p>
    <w:p w:rsidR="00380A6A" w:rsidRPr="00380A6A" w:rsidRDefault="00380A6A" w:rsidP="00380A6A">
      <w:pPr>
        <w:spacing w:after="0" w:line="240" w:lineRule="auto"/>
        <w:ind w:firstLine="720"/>
        <w:jc w:val="both"/>
        <w:rPr>
          <w:rFonts w:ascii="Arial" w:eastAsia="Times New Roman" w:hAnsi="Arial" w:cs="Arial"/>
          <w:color w:val="222222"/>
          <w:sz w:val="24"/>
          <w:lang w:eastAsia="vi-VN"/>
        </w:rPr>
      </w:pPr>
      <w:r w:rsidRPr="00380A6A">
        <w:rPr>
          <w:rFonts w:ascii="Arial" w:eastAsia="Times New Roman" w:hAnsi="Arial" w:cs="Arial"/>
          <w:color w:val="222222"/>
          <w:sz w:val="24"/>
          <w:lang w:eastAsia="vi-VN"/>
        </w:rPr>
        <w:t>(iv) Đối với người nộp thuế còn lại (không thuộc trường hợp (i), (ii), (iii) nêu trên), Hệ thống tự động cập nhật đánh dấu cho MST 10 chữ số của người nộp thuế là cá nhân có ngày cấp nhỏ nhất (không phải là người phụ thuộc).</w:t>
      </w:r>
    </w:p>
    <w:p w:rsidR="00380A6A" w:rsidRPr="00380A6A" w:rsidRDefault="00380A6A" w:rsidP="00380A6A">
      <w:pPr>
        <w:spacing w:after="120" w:line="240" w:lineRule="auto"/>
        <w:rPr>
          <w:rFonts w:ascii="Arial" w:eastAsia="Times New Roman" w:hAnsi="Arial" w:cs="Arial"/>
          <w:color w:val="222222"/>
          <w:sz w:val="24"/>
          <w:lang w:eastAsia="vi-VN"/>
        </w:rPr>
      </w:pPr>
      <w:r w:rsidRPr="00380A6A">
        <w:rPr>
          <w:rFonts w:ascii="Arial" w:eastAsia="Times New Roman" w:hAnsi="Arial" w:cs="Arial"/>
          <w:color w:val="222222"/>
          <w:sz w:val="24"/>
          <w:lang w:eastAsia="vi-VN"/>
        </w:rPr>
        <w:t>- Cơ quan thuế thực hiện tra cứu thông tin hợp nhất các MST theo số định danh cá nhân trên Hệ thống TMS như sau: Tra cứu danh sách NNT có nhiều hơn một MST và thông tin “MST nội bộ” được đánh dấu tại chức năng “2.13.4 - Tra cứu MST có cùng CCCD”; Tra cứu nghĩa vụ thuế hợp nhất theo số định danh cá nhân tại chức năng “10.1.3 - Tra cứu tổng quan theo CCCD”.</w:t>
      </w:r>
    </w:p>
    <w:p w:rsidR="00380A6A" w:rsidRPr="00380A6A" w:rsidRDefault="00380A6A" w:rsidP="00380A6A">
      <w:pPr>
        <w:spacing w:after="120" w:line="240" w:lineRule="auto"/>
        <w:rPr>
          <w:rFonts w:ascii="Arial" w:eastAsia="Times New Roman" w:hAnsi="Arial" w:cs="Arial"/>
          <w:color w:val="222222"/>
          <w:sz w:val="24"/>
          <w:lang w:eastAsia="vi-VN"/>
        </w:rPr>
      </w:pPr>
      <w:r w:rsidRPr="00380A6A">
        <w:rPr>
          <w:rFonts w:ascii="Arial" w:eastAsia="Times New Roman" w:hAnsi="Arial" w:cs="Arial"/>
          <w:color w:val="222222"/>
          <w:sz w:val="24"/>
          <w:lang w:eastAsia="vi-VN"/>
        </w:rPr>
        <w:t>2. Về việc cập nhật số định danh cá nhân</w:t>
      </w:r>
    </w:p>
    <w:p w:rsidR="00380A6A" w:rsidRPr="00380A6A" w:rsidRDefault="00380A6A" w:rsidP="00380A6A">
      <w:pPr>
        <w:spacing w:after="120" w:line="240" w:lineRule="auto"/>
        <w:rPr>
          <w:rFonts w:ascii="Arial" w:eastAsia="Times New Roman" w:hAnsi="Arial" w:cs="Arial"/>
          <w:color w:val="222222"/>
          <w:sz w:val="24"/>
          <w:lang w:eastAsia="vi-VN"/>
        </w:rPr>
      </w:pPr>
      <w:r w:rsidRPr="00380A6A">
        <w:rPr>
          <w:rFonts w:ascii="Arial" w:eastAsia="Times New Roman" w:hAnsi="Arial" w:cs="Arial"/>
          <w:color w:val="222222"/>
          <w:sz w:val="24"/>
          <w:lang w:eastAsia="vi-VN"/>
        </w:rPr>
        <w:lastRenderedPageBreak/>
        <w:t>2.1. Cập nhật số định danh cá nhân cho MST có trạng thái 10 “MST chờ cập nhật thông tin số định danh cá nhân”</w:t>
      </w:r>
    </w:p>
    <w:p w:rsidR="00380A6A" w:rsidRPr="00380A6A" w:rsidRDefault="00380A6A" w:rsidP="00380A6A">
      <w:pPr>
        <w:spacing w:after="120" w:line="240" w:lineRule="auto"/>
        <w:rPr>
          <w:rFonts w:ascii="Arial" w:eastAsia="Times New Roman" w:hAnsi="Arial" w:cs="Arial"/>
          <w:color w:val="222222"/>
          <w:sz w:val="24"/>
          <w:lang w:eastAsia="vi-VN"/>
        </w:rPr>
      </w:pPr>
      <w:r w:rsidRPr="00380A6A">
        <w:rPr>
          <w:rFonts w:ascii="Arial" w:eastAsia="Times New Roman" w:hAnsi="Arial" w:cs="Arial"/>
          <w:color w:val="222222"/>
          <w:sz w:val="24"/>
          <w:lang w:eastAsia="vi-VN"/>
        </w:rPr>
        <w:t>a) Người nộp thuế tra cứu trạng thái MST đã được cấp theo hướng dẫn tại </w:t>
      </w:r>
      <w:r w:rsidRPr="00380A6A">
        <w:rPr>
          <w:rFonts w:ascii="Arial" w:eastAsia="Times New Roman" w:hAnsi="Arial" w:cs="Arial"/>
          <w:color w:val="A60B0A"/>
          <w:sz w:val="24"/>
          <w:lang w:eastAsia="vi-VN"/>
        </w:rPr>
        <w:t>Phụ lục 1 đính kèm công văn này</w:t>
      </w:r>
      <w:r w:rsidRPr="00380A6A">
        <w:rPr>
          <w:rFonts w:ascii="Arial" w:eastAsia="Times New Roman" w:hAnsi="Arial" w:cs="Arial"/>
          <w:color w:val="222222"/>
          <w:sz w:val="24"/>
          <w:lang w:eastAsia="vi-VN"/>
        </w:rPr>
        <w:t>. Đối với MST có trạng thái 10 “MST chờ cập nhật thông tin số định danh cá nhân”, người nộp thuế thực hiện thủ tục để cập nhật số định danh cá nhân như sau:</w:t>
      </w:r>
    </w:p>
    <w:p w:rsidR="00380A6A" w:rsidRPr="00380A6A" w:rsidRDefault="00380A6A" w:rsidP="00380A6A">
      <w:pPr>
        <w:spacing w:after="120" w:line="240" w:lineRule="auto"/>
        <w:rPr>
          <w:rFonts w:ascii="Arial" w:eastAsia="Times New Roman" w:hAnsi="Arial" w:cs="Arial"/>
          <w:color w:val="222222"/>
          <w:sz w:val="24"/>
          <w:lang w:eastAsia="vi-VN"/>
        </w:rPr>
      </w:pPr>
      <w:r w:rsidRPr="00380A6A">
        <w:rPr>
          <w:rFonts w:ascii="Arial" w:eastAsia="Times New Roman" w:hAnsi="Arial" w:cs="Arial"/>
          <w:color w:val="222222"/>
          <w:sz w:val="24"/>
          <w:lang w:eastAsia="vi-VN"/>
        </w:rPr>
        <w:t>a.1) Trường hợp cá nhân trực tiếp thực hiện thủ tục: Cá nhân lập hồ sơ thay đổi thông tin đối với MST chưa khớp của cá nhân hoặc người phụ thuộc theo </w:t>
      </w:r>
      <w:r w:rsidRPr="00380A6A">
        <w:rPr>
          <w:rFonts w:ascii="Arial" w:eastAsia="Times New Roman" w:hAnsi="Arial" w:cs="Arial"/>
          <w:color w:val="A60B0A"/>
          <w:sz w:val="24"/>
          <w:lang w:eastAsia="vi-VN"/>
        </w:rPr>
        <w:t>mẫu 08-MST</w:t>
      </w:r>
      <w:r w:rsidRPr="00380A6A">
        <w:rPr>
          <w:rFonts w:ascii="Arial" w:eastAsia="Times New Roman" w:hAnsi="Arial" w:cs="Arial"/>
          <w:color w:val="222222"/>
          <w:sz w:val="24"/>
          <w:lang w:eastAsia="vi-VN"/>
        </w:rPr>
        <w:t> hoặc </w:t>
      </w:r>
      <w:r w:rsidRPr="00380A6A">
        <w:rPr>
          <w:rFonts w:ascii="Arial" w:eastAsia="Times New Roman" w:hAnsi="Arial" w:cs="Arial"/>
          <w:color w:val="A60B0A"/>
          <w:sz w:val="24"/>
          <w:lang w:eastAsia="vi-VN"/>
        </w:rPr>
        <w:t>mẫu 20-ĐK-TCT ban hành kèm theo Thông tư số 86/2024/TT-BTC</w:t>
      </w:r>
      <w:r w:rsidRPr="00380A6A">
        <w:rPr>
          <w:rFonts w:ascii="Arial" w:eastAsia="Times New Roman" w:hAnsi="Arial" w:cs="Arial"/>
          <w:color w:val="222222"/>
          <w:sz w:val="24"/>
          <w:lang w:eastAsia="vi-VN"/>
        </w:rPr>
        <w:t>, nộp đến Thuế cơ sở quản lý trực tiếp cá nhân kinh doanh, hoặc Thuế cơ sở nơi cá nhân thường trú hoặc tạm trú đối với cá nhân không kinh doanh.</w:t>
      </w:r>
    </w:p>
    <w:p w:rsidR="00380A6A" w:rsidRPr="00380A6A" w:rsidRDefault="00380A6A" w:rsidP="00380A6A">
      <w:pPr>
        <w:spacing w:after="120" w:line="240" w:lineRule="auto"/>
        <w:rPr>
          <w:rFonts w:ascii="Arial" w:eastAsia="Times New Roman" w:hAnsi="Arial" w:cs="Arial"/>
          <w:color w:val="222222"/>
          <w:sz w:val="24"/>
          <w:lang w:eastAsia="vi-VN"/>
        </w:rPr>
      </w:pPr>
      <w:r w:rsidRPr="00380A6A">
        <w:rPr>
          <w:rFonts w:ascii="Arial" w:eastAsia="Times New Roman" w:hAnsi="Arial" w:cs="Arial"/>
          <w:color w:val="222222"/>
          <w:sz w:val="24"/>
          <w:lang w:eastAsia="vi-VN"/>
        </w:rPr>
        <w:t>a.2) Trường hợp cá nhân ủy quyền cho cơ quan chi trả thu nhập thực hiện thủ tục thay đổi thông tin đối với MST chưa khớp của cá nhân và người phụ thuộc, cơ quan chi trả thu nhập có trách nhiệm tổng hợp thông tin theo mẫu </w:t>
      </w:r>
      <w:r w:rsidRPr="00380A6A">
        <w:rPr>
          <w:rFonts w:ascii="Arial" w:eastAsia="Times New Roman" w:hAnsi="Arial" w:cs="Arial"/>
          <w:color w:val="A60B0A"/>
          <w:sz w:val="24"/>
          <w:lang w:eastAsia="vi-VN"/>
        </w:rPr>
        <w:t>05-ĐK-TH-TCT</w:t>
      </w:r>
      <w:r w:rsidRPr="00380A6A">
        <w:rPr>
          <w:rFonts w:ascii="Arial" w:eastAsia="Times New Roman" w:hAnsi="Arial" w:cs="Arial"/>
          <w:color w:val="222222"/>
          <w:sz w:val="24"/>
          <w:lang w:eastAsia="vi-VN"/>
        </w:rPr>
        <w:t> hoặc </w:t>
      </w:r>
      <w:r w:rsidRPr="00380A6A">
        <w:rPr>
          <w:rFonts w:ascii="Arial" w:eastAsia="Times New Roman" w:hAnsi="Arial" w:cs="Arial"/>
          <w:color w:val="A60B0A"/>
          <w:sz w:val="24"/>
          <w:lang w:eastAsia="vi-VN"/>
        </w:rPr>
        <w:t>mẫu 20-ĐK-TH-TCT ban hành kèm theo Thông tư số 86/2024/TT-BTC</w:t>
      </w:r>
      <w:r w:rsidRPr="00380A6A">
        <w:rPr>
          <w:rFonts w:ascii="Arial" w:eastAsia="Times New Roman" w:hAnsi="Arial" w:cs="Arial"/>
          <w:color w:val="222222"/>
          <w:sz w:val="24"/>
          <w:lang w:eastAsia="vi-VN"/>
        </w:rPr>
        <w:t>, nộp đến cơ quan thuế quản lý trực tiếp cơ quan chi trả thu nhập.</w:t>
      </w:r>
    </w:p>
    <w:p w:rsidR="00380A6A" w:rsidRPr="00380A6A" w:rsidRDefault="00380A6A" w:rsidP="00380A6A">
      <w:pPr>
        <w:spacing w:after="120" w:line="240" w:lineRule="auto"/>
        <w:rPr>
          <w:rFonts w:ascii="Arial" w:eastAsia="Times New Roman" w:hAnsi="Arial" w:cs="Arial"/>
          <w:color w:val="222222"/>
          <w:sz w:val="24"/>
          <w:lang w:eastAsia="vi-VN"/>
        </w:rPr>
      </w:pPr>
      <w:r w:rsidRPr="00380A6A">
        <w:rPr>
          <w:rFonts w:ascii="Arial" w:eastAsia="Times New Roman" w:hAnsi="Arial" w:cs="Arial"/>
          <w:color w:val="222222"/>
          <w:sz w:val="24"/>
          <w:lang w:eastAsia="vi-VN"/>
        </w:rPr>
        <w:t>a.3) Trường hợp MST ở trạng thái 10 “MST chờ cập nhật thông tin số định danh cá nhân” là MST của hộ kinh doanh, người nộp thuế thực hiện thủ tục thay đổi thông tin đăng ký hộ kinh doanh với cơ quan đăng ký kinh doanh cấp xã theo quy định tại Nghị định số </w:t>
      </w:r>
      <w:r w:rsidRPr="00380A6A">
        <w:rPr>
          <w:rFonts w:ascii="Arial" w:eastAsia="Times New Roman" w:hAnsi="Arial" w:cs="Arial"/>
          <w:color w:val="A67C52"/>
          <w:sz w:val="24"/>
          <w:u w:val="single"/>
          <w:lang w:eastAsia="vi-VN"/>
        </w:rPr>
        <w:t>168/2025/NĐ</w:t>
      </w:r>
      <w:bookmarkStart w:id="0" w:name="_GoBack"/>
      <w:bookmarkEnd w:id="0"/>
      <w:r w:rsidRPr="00380A6A">
        <w:rPr>
          <w:rFonts w:ascii="Arial" w:eastAsia="Times New Roman" w:hAnsi="Arial" w:cs="Arial"/>
          <w:color w:val="A67C52"/>
          <w:sz w:val="24"/>
          <w:u w:val="single"/>
          <w:lang w:eastAsia="vi-VN"/>
        </w:rPr>
        <w:t>-CP</w:t>
      </w:r>
      <w:r w:rsidRPr="00380A6A">
        <w:rPr>
          <w:rFonts w:ascii="Arial" w:eastAsia="Times New Roman" w:hAnsi="Arial" w:cs="Arial"/>
          <w:color w:val="222222"/>
          <w:sz w:val="24"/>
          <w:lang w:eastAsia="vi-VN"/>
        </w:rPr>
        <w:t> và mẫu biểu quy định tại Thông tư số </w:t>
      </w:r>
      <w:r w:rsidRPr="00380A6A">
        <w:rPr>
          <w:rFonts w:ascii="Arial" w:eastAsia="Times New Roman" w:hAnsi="Arial" w:cs="Arial"/>
          <w:color w:val="A67C52"/>
          <w:sz w:val="24"/>
          <w:u w:val="single"/>
          <w:lang w:eastAsia="vi-VN"/>
        </w:rPr>
        <w:t>68/2025/TT-BTC</w:t>
      </w:r>
      <w:r w:rsidRPr="00380A6A">
        <w:rPr>
          <w:rFonts w:ascii="Arial" w:eastAsia="Times New Roman" w:hAnsi="Arial" w:cs="Arial"/>
          <w:color w:val="222222"/>
          <w:sz w:val="24"/>
          <w:lang w:eastAsia="vi-VN"/>
        </w:rPr>
        <w:t>. Thông tin sau khi được cơ quan đăng ký kinh doanh cập nhật sẽ được đồng bộ sang Hệ thống thông tin quản lý thuế theo cơ chế một cửa liên thông.</w:t>
      </w:r>
    </w:p>
    <w:p w:rsidR="00380A6A" w:rsidRPr="00380A6A" w:rsidRDefault="00380A6A" w:rsidP="00380A6A">
      <w:pPr>
        <w:spacing w:after="120" w:line="240" w:lineRule="auto"/>
        <w:rPr>
          <w:rFonts w:ascii="Arial" w:eastAsia="Times New Roman" w:hAnsi="Arial" w:cs="Arial"/>
          <w:color w:val="222222"/>
          <w:sz w:val="24"/>
          <w:lang w:eastAsia="vi-VN"/>
        </w:rPr>
      </w:pPr>
      <w:r w:rsidRPr="00380A6A">
        <w:rPr>
          <w:rFonts w:ascii="Arial" w:eastAsia="Times New Roman" w:hAnsi="Arial" w:cs="Arial"/>
          <w:color w:val="222222"/>
          <w:sz w:val="24"/>
          <w:lang w:eastAsia="vi-VN"/>
        </w:rPr>
        <w:t>b) Phương thức nộp hồ sơ đến cơ quan thuế:</w:t>
      </w:r>
    </w:p>
    <w:p w:rsidR="00380A6A" w:rsidRPr="00380A6A" w:rsidRDefault="00380A6A" w:rsidP="00380A6A">
      <w:pPr>
        <w:spacing w:after="0" w:line="240" w:lineRule="auto"/>
        <w:rPr>
          <w:rFonts w:ascii="Arial" w:eastAsia="Times New Roman" w:hAnsi="Arial" w:cs="Arial"/>
          <w:color w:val="222222"/>
          <w:sz w:val="24"/>
          <w:lang w:eastAsia="vi-VN"/>
        </w:rPr>
      </w:pPr>
      <w:r w:rsidRPr="00380A6A">
        <w:rPr>
          <w:rFonts w:ascii="Arial" w:eastAsia="Times New Roman" w:hAnsi="Arial" w:cs="Arial"/>
          <w:color w:val="222222"/>
          <w:sz w:val="24"/>
          <w:lang w:eastAsia="vi-VN"/>
        </w:rPr>
        <w:t>b.1) Trường hợp cá nhân trực tiếp thực hiện thủ tục với cơ quan thuế: Cá nhân thực hiện bằng phương thức điện tử, hoặc nộp hồ sơ giấy trực tiếp hoặc qua bưu chính.</w:t>
      </w:r>
    </w:p>
    <w:p w:rsidR="00380A6A" w:rsidRPr="00380A6A" w:rsidRDefault="00380A6A" w:rsidP="00380A6A">
      <w:pPr>
        <w:spacing w:after="0" w:line="240" w:lineRule="auto"/>
        <w:rPr>
          <w:rFonts w:ascii="Arial" w:eastAsia="Times New Roman" w:hAnsi="Arial" w:cs="Arial"/>
          <w:color w:val="222222"/>
          <w:sz w:val="24"/>
          <w:lang w:eastAsia="vi-VN"/>
        </w:rPr>
      </w:pPr>
      <w:r w:rsidRPr="00380A6A">
        <w:rPr>
          <w:rFonts w:ascii="Arial" w:eastAsia="Times New Roman" w:hAnsi="Arial" w:cs="Arial"/>
          <w:color w:val="222222"/>
          <w:sz w:val="24"/>
          <w:lang w:eastAsia="vi-VN"/>
        </w:rPr>
        <w:t>- Trường hợp thực hiện bằng phương thức điện tử:</w:t>
      </w:r>
    </w:p>
    <w:p w:rsidR="00380A6A" w:rsidRPr="00380A6A" w:rsidRDefault="00380A6A" w:rsidP="00380A6A">
      <w:pPr>
        <w:spacing w:after="0" w:line="240" w:lineRule="auto"/>
        <w:rPr>
          <w:rFonts w:ascii="Arial" w:eastAsia="Times New Roman" w:hAnsi="Arial" w:cs="Arial"/>
          <w:color w:val="222222"/>
          <w:sz w:val="24"/>
          <w:lang w:eastAsia="vi-VN"/>
        </w:rPr>
      </w:pPr>
      <w:r w:rsidRPr="00380A6A">
        <w:rPr>
          <w:rFonts w:ascii="Arial" w:eastAsia="Times New Roman" w:hAnsi="Arial" w:cs="Arial"/>
          <w:color w:val="222222"/>
          <w:sz w:val="24"/>
          <w:lang w:eastAsia="vi-VN"/>
        </w:rPr>
        <w:t>+ Nếu MST có thông tin chưa khớp đã đăng ký tài khoản thuế điện tử: Cá nhân thực hiện đăng nhập vào Etax Mobile hoặc Hệ thống thông tin giải quyết thủ tục hành chính (https://dichvucong.mof.gov.vn) bằng tài khoản thuế điện tử của MST này để nộp hồ sơ.</w:t>
      </w:r>
    </w:p>
    <w:p w:rsidR="00380A6A" w:rsidRPr="00380A6A" w:rsidRDefault="00380A6A" w:rsidP="00380A6A">
      <w:pPr>
        <w:spacing w:after="0" w:line="240" w:lineRule="auto"/>
        <w:rPr>
          <w:rFonts w:ascii="Arial" w:eastAsia="Times New Roman" w:hAnsi="Arial" w:cs="Arial"/>
          <w:color w:val="222222"/>
          <w:sz w:val="24"/>
          <w:lang w:eastAsia="vi-VN"/>
        </w:rPr>
      </w:pPr>
      <w:r w:rsidRPr="00380A6A">
        <w:rPr>
          <w:rFonts w:ascii="Arial" w:eastAsia="Times New Roman" w:hAnsi="Arial" w:cs="Arial"/>
          <w:color w:val="222222"/>
          <w:sz w:val="24"/>
          <w:lang w:eastAsia="vi-VN"/>
        </w:rPr>
        <w:t>+ Nếu MST có thông tin chưa khớp chưa đăng ký tài khoản thuế điện tử: Cá nhân thực hiện đăng ký cấp tài khoản giao dịch thuế điện tử cho MST này theo quy định tại </w:t>
      </w:r>
      <w:r w:rsidRPr="00380A6A">
        <w:rPr>
          <w:rFonts w:ascii="Arial" w:eastAsia="Times New Roman" w:hAnsi="Arial" w:cs="Arial"/>
          <w:color w:val="A60B0A"/>
          <w:sz w:val="24"/>
          <w:lang w:eastAsia="vi-VN"/>
        </w:rPr>
        <w:t>Điều 10 Thông tư số 19/2021/TT-BTC</w:t>
      </w:r>
      <w:r w:rsidRPr="00380A6A">
        <w:rPr>
          <w:rFonts w:ascii="Arial" w:eastAsia="Times New Roman" w:hAnsi="Arial" w:cs="Arial"/>
          <w:color w:val="222222"/>
          <w:sz w:val="24"/>
          <w:lang w:eastAsia="vi-VN"/>
        </w:rPr>
        <w:t> (được sửa đổi bởi Thông tư </w:t>
      </w:r>
      <w:r w:rsidRPr="00380A6A">
        <w:rPr>
          <w:rFonts w:ascii="Arial" w:eastAsia="Times New Roman" w:hAnsi="Arial" w:cs="Arial"/>
          <w:color w:val="A67C52"/>
          <w:sz w:val="24"/>
          <w:u w:val="single"/>
          <w:lang w:eastAsia="vi-VN"/>
        </w:rPr>
        <w:t>46/2024/TT-BTC</w:t>
      </w:r>
      <w:r w:rsidRPr="00380A6A">
        <w:rPr>
          <w:rFonts w:ascii="Arial" w:eastAsia="Times New Roman" w:hAnsi="Arial" w:cs="Arial"/>
          <w:color w:val="222222"/>
          <w:sz w:val="24"/>
          <w:lang w:eastAsia="vi-VN"/>
        </w:rPr>
        <w:t>). Sau khi được cấp và kích hoạt tài khoản thuế điện tử, cá nhân thực hiện đăng nhập vào Etax Mobile hoặc Hệ thống thông tin giải quyết thủ tục hành chính (https://dichvucong.mof.gov.vn) bằng tài khoản thuế điện tử của MST này để nộp hồ sơ.</w:t>
      </w:r>
    </w:p>
    <w:p w:rsidR="00380A6A" w:rsidRPr="00380A6A" w:rsidRDefault="00380A6A" w:rsidP="00380A6A">
      <w:pPr>
        <w:spacing w:after="120" w:line="240" w:lineRule="auto"/>
        <w:rPr>
          <w:rFonts w:ascii="Arial" w:eastAsia="Times New Roman" w:hAnsi="Arial" w:cs="Arial"/>
          <w:color w:val="222222"/>
          <w:sz w:val="24"/>
          <w:lang w:eastAsia="vi-VN"/>
        </w:rPr>
      </w:pPr>
      <w:r w:rsidRPr="00380A6A">
        <w:rPr>
          <w:rFonts w:ascii="Arial" w:eastAsia="Times New Roman" w:hAnsi="Arial" w:cs="Arial"/>
          <w:color w:val="222222"/>
          <w:sz w:val="24"/>
          <w:lang w:eastAsia="vi-VN"/>
        </w:rPr>
        <w:t>- Trường hợp cá nhân nộp hồ sơ giấy trực tiếp hoặc qua bưu chính: Cá nhân nộp hồ sơ trực tiếp tại Trung tâm phục vụ hành chính công, hoặc thông qua dịch vụ bưu chính theo quy định tại Nghị định số </w:t>
      </w:r>
      <w:r w:rsidRPr="00380A6A">
        <w:rPr>
          <w:rFonts w:ascii="Arial" w:eastAsia="Times New Roman" w:hAnsi="Arial" w:cs="Arial"/>
          <w:color w:val="A67C52"/>
          <w:sz w:val="24"/>
          <w:u w:val="single"/>
          <w:lang w:eastAsia="vi-VN"/>
        </w:rPr>
        <w:t>118/2025/NĐ-CP</w:t>
      </w:r>
      <w:r w:rsidRPr="00380A6A">
        <w:rPr>
          <w:rFonts w:ascii="Arial" w:eastAsia="Times New Roman" w:hAnsi="Arial" w:cs="Arial"/>
          <w:color w:val="222222"/>
          <w:sz w:val="24"/>
          <w:lang w:eastAsia="vi-VN"/>
        </w:rPr>
        <w:t>.</w:t>
      </w:r>
    </w:p>
    <w:p w:rsidR="00380A6A" w:rsidRPr="00380A6A" w:rsidRDefault="00380A6A" w:rsidP="00380A6A">
      <w:pPr>
        <w:spacing w:after="120" w:line="240" w:lineRule="auto"/>
        <w:rPr>
          <w:rFonts w:ascii="Arial" w:eastAsia="Times New Roman" w:hAnsi="Arial" w:cs="Arial"/>
          <w:color w:val="222222"/>
          <w:sz w:val="24"/>
          <w:lang w:eastAsia="vi-VN"/>
        </w:rPr>
      </w:pPr>
      <w:r w:rsidRPr="00380A6A">
        <w:rPr>
          <w:rFonts w:ascii="Arial" w:eastAsia="Times New Roman" w:hAnsi="Arial" w:cs="Arial"/>
          <w:color w:val="222222"/>
          <w:sz w:val="24"/>
          <w:lang w:eastAsia="vi-VN"/>
        </w:rPr>
        <w:t>b.2) Trường hợp cá nhân ủy quyền cho cơ quan chi trả thu nhập: Cơ quan chi trả thu nhập thực hiện nộp hồ sơ theo hình thức điện tử qua Hệ thống thông tin giải quyết thủ tục hành chính (https://dichvucong.mof.gov.vn), hoặc nộp hồ sơ trực tiếp tại Trung tâm phục vụ hành chính công, hoặc thông qua dịch vụ bưu chính theo quy định tại Nghị định số </w:t>
      </w:r>
      <w:r w:rsidRPr="00380A6A">
        <w:rPr>
          <w:rFonts w:ascii="Arial" w:eastAsia="Times New Roman" w:hAnsi="Arial" w:cs="Arial"/>
          <w:color w:val="A67C52"/>
          <w:sz w:val="24"/>
          <w:u w:val="single"/>
          <w:lang w:eastAsia="vi-VN"/>
        </w:rPr>
        <w:t>118/2025/NĐ-CP</w:t>
      </w:r>
      <w:r w:rsidRPr="00380A6A">
        <w:rPr>
          <w:rFonts w:ascii="Arial" w:eastAsia="Times New Roman" w:hAnsi="Arial" w:cs="Arial"/>
          <w:color w:val="222222"/>
          <w:sz w:val="24"/>
          <w:lang w:eastAsia="vi-VN"/>
        </w:rPr>
        <w:t>.</w:t>
      </w:r>
    </w:p>
    <w:p w:rsidR="00380A6A" w:rsidRPr="00380A6A" w:rsidRDefault="00380A6A" w:rsidP="00380A6A">
      <w:pPr>
        <w:spacing w:after="0" w:line="240" w:lineRule="auto"/>
        <w:ind w:firstLine="720"/>
        <w:jc w:val="both"/>
        <w:rPr>
          <w:rFonts w:ascii="Arial" w:eastAsia="Times New Roman" w:hAnsi="Arial" w:cs="Arial"/>
          <w:color w:val="222222"/>
          <w:sz w:val="24"/>
          <w:lang w:eastAsia="vi-VN"/>
        </w:rPr>
      </w:pPr>
      <w:r w:rsidRPr="00380A6A">
        <w:rPr>
          <w:rFonts w:ascii="Arial" w:eastAsia="Times New Roman" w:hAnsi="Arial" w:cs="Arial"/>
          <w:color w:val="222222"/>
          <w:sz w:val="24"/>
          <w:lang w:eastAsia="vi-VN"/>
        </w:rPr>
        <w:t>2.2. Cập nhật số định danh cá nhân trong trường hợp MST của hộ kinh doanh, cá nhân kinh doanh ở trạng thái “Không hoạt động tại địa chỉ đã đăng ký”</w:t>
      </w:r>
    </w:p>
    <w:p w:rsidR="00380A6A" w:rsidRPr="00380A6A" w:rsidRDefault="00380A6A" w:rsidP="00380A6A">
      <w:pPr>
        <w:spacing w:after="0" w:line="240" w:lineRule="auto"/>
        <w:ind w:firstLine="720"/>
        <w:jc w:val="both"/>
        <w:rPr>
          <w:rFonts w:ascii="Arial" w:eastAsia="Times New Roman" w:hAnsi="Arial" w:cs="Arial"/>
          <w:color w:val="222222"/>
          <w:sz w:val="24"/>
          <w:lang w:eastAsia="vi-VN"/>
        </w:rPr>
      </w:pPr>
      <w:r w:rsidRPr="00380A6A">
        <w:rPr>
          <w:rFonts w:ascii="Arial" w:eastAsia="Times New Roman" w:hAnsi="Arial" w:cs="Arial"/>
          <w:color w:val="222222"/>
          <w:sz w:val="24"/>
          <w:lang w:eastAsia="vi-VN"/>
        </w:rPr>
        <w:lastRenderedPageBreak/>
        <w:t>Theo quy định tại Luật Quản lý thuế và Thông tư số </w:t>
      </w:r>
      <w:hyperlink r:id="rId4" w:tgtFrame="_blank" w:tooltip="86/2024/TT-BTC" w:history="1">
        <w:r w:rsidRPr="00380A6A">
          <w:rPr>
            <w:rFonts w:ascii="Arial" w:eastAsia="Times New Roman" w:hAnsi="Arial" w:cs="Arial"/>
            <w:color w:val="A67C52"/>
            <w:sz w:val="24"/>
            <w:u w:val="single"/>
            <w:lang w:eastAsia="vi-VN"/>
          </w:rPr>
          <w:t>86/2024/TT-BTC</w:t>
        </w:r>
      </w:hyperlink>
      <w:r w:rsidRPr="00380A6A">
        <w:rPr>
          <w:rFonts w:ascii="Arial" w:eastAsia="Times New Roman" w:hAnsi="Arial" w:cs="Arial"/>
          <w:color w:val="222222"/>
          <w:sz w:val="24"/>
          <w:lang w:eastAsia="vi-VN"/>
        </w:rPr>
        <w:t>, MST của hộ kinh doanh, cá nhân kinh doanh đồng thời là MST của cá nhân là chủ hộ kinh doanh, cá nhân kinh doanh. Trong trường hợp này, MST được sử dụng để thực hiện đồng thời hai vai trò: (i) Vai trò là MST của hộ kinh doanh, cá nhân kinh doanh để thực hiện các nghĩa vụ thuế phát sinh từ hoạt động kinh doanh; (ii) Vai trò là MST của cá nhân để thực hiện các nghĩa vụ thuế không phát sinh từ hoạt động kinh doanh. Khi hộ kinh doanh, cá nhân kinh doanh chấm dứt hoạt động kinh doanh thì vai trò là MST của hộ kinh doanh, cá nhân kinh doanh bị chấm dứt hiệu lực, còn vai trò là MST của cá nhân vẫn tồn tại suốt cuộc đời của cá nhân để thực hiện các nghĩa vụ thuế không phát sinh từ hoạt động kinh doanh.</w:t>
      </w:r>
    </w:p>
    <w:p w:rsidR="00380A6A" w:rsidRPr="00380A6A" w:rsidRDefault="00380A6A" w:rsidP="00380A6A">
      <w:pPr>
        <w:spacing w:after="0" w:line="240" w:lineRule="auto"/>
        <w:ind w:firstLine="720"/>
        <w:jc w:val="both"/>
        <w:rPr>
          <w:rFonts w:ascii="Arial" w:eastAsia="Times New Roman" w:hAnsi="Arial" w:cs="Arial"/>
          <w:color w:val="222222"/>
          <w:sz w:val="24"/>
          <w:lang w:eastAsia="vi-VN"/>
        </w:rPr>
      </w:pPr>
      <w:r w:rsidRPr="00380A6A">
        <w:rPr>
          <w:rFonts w:ascii="Arial" w:eastAsia="Times New Roman" w:hAnsi="Arial" w:cs="Arial"/>
          <w:color w:val="222222"/>
          <w:sz w:val="24"/>
          <w:lang w:eastAsia="vi-VN"/>
        </w:rPr>
        <w:t>Đồng thời, theo quy định tại </w:t>
      </w:r>
      <w:r w:rsidRPr="00380A6A">
        <w:rPr>
          <w:rFonts w:ascii="Arial" w:eastAsia="Times New Roman" w:hAnsi="Arial" w:cs="Arial"/>
          <w:color w:val="A60B0A"/>
          <w:sz w:val="24"/>
          <w:lang w:eastAsia="vi-VN"/>
        </w:rPr>
        <w:t>Điều 32 Thông tư số 86/2024/TT-BTC</w:t>
      </w:r>
      <w:r w:rsidRPr="00380A6A">
        <w:rPr>
          <w:rFonts w:ascii="Arial" w:eastAsia="Times New Roman" w:hAnsi="Arial" w:cs="Arial"/>
          <w:color w:val="222222"/>
          <w:sz w:val="24"/>
          <w:lang w:eastAsia="vi-VN"/>
        </w:rPr>
        <w:t> thì cơ quan thuế thông báo và cập nhật trạng thái MST “Không hoạt động tại địa chỉ đã đăng ký” đối với hộ kinh doanh, cá nhân kinh doanh không hoạt động tại địa chỉ kinh doanh đã đăng ký. Trạng thái này gắn với hoạt động kinh doanh của hộ kinh doanh, cá nhân kinh doanh.</w:t>
      </w:r>
    </w:p>
    <w:p w:rsidR="00380A6A" w:rsidRPr="00380A6A" w:rsidRDefault="00380A6A" w:rsidP="00380A6A">
      <w:pPr>
        <w:spacing w:after="0" w:line="240" w:lineRule="auto"/>
        <w:ind w:firstLine="720"/>
        <w:jc w:val="both"/>
        <w:rPr>
          <w:rFonts w:ascii="Arial" w:eastAsia="Times New Roman" w:hAnsi="Arial" w:cs="Arial"/>
          <w:color w:val="222222"/>
          <w:sz w:val="24"/>
          <w:lang w:eastAsia="vi-VN"/>
        </w:rPr>
      </w:pPr>
      <w:r w:rsidRPr="00380A6A">
        <w:rPr>
          <w:rFonts w:ascii="Arial" w:eastAsia="Times New Roman" w:hAnsi="Arial" w:cs="Arial"/>
          <w:color w:val="222222"/>
          <w:sz w:val="24"/>
          <w:lang w:eastAsia="vi-VN"/>
        </w:rPr>
        <w:t>Căn cứ quy định nêu trên, trường hợp MST của hộ kinh doanh, cá nhân kinh doanh bị cơ quan thuế thông báo và cập nhật trạng thái “Không hoạt động tại địa chỉ đã đăng ký” (theo địa chỉ đăng ký hoạt động kinh doanh), thì chủ hộ kinh doanh, cá nhân thực hiện cập nhật số định danh cá nhân với vai trò là MST của cá nhân theo mẫu số 08-MST ban hành kèm theo Thông tư số </w:t>
      </w:r>
      <w:r w:rsidRPr="00380A6A">
        <w:rPr>
          <w:rFonts w:ascii="Arial" w:eastAsia="Times New Roman" w:hAnsi="Arial" w:cs="Arial"/>
          <w:color w:val="A67C52"/>
          <w:sz w:val="24"/>
          <w:u w:val="single"/>
          <w:lang w:eastAsia="vi-VN"/>
        </w:rPr>
        <w:t>86/2024/TT-BTC</w:t>
      </w:r>
      <w:r w:rsidRPr="00380A6A">
        <w:rPr>
          <w:rFonts w:ascii="Arial" w:eastAsia="Times New Roman" w:hAnsi="Arial" w:cs="Arial"/>
          <w:color w:val="222222"/>
          <w:sz w:val="24"/>
          <w:lang w:eastAsia="vi-VN"/>
        </w:rPr>
        <w:t>, nộp đến cơ quan thuế quản lý trực tiếp hộ kinh doanh, cá nhân kinh doanh (chỉ khai thay đổi thông tin để đảm bảo khớp đúng với thông tin trong CSDLQGDC bao gồm: số định danh cá nhân, ngày tháng năm sinh, họ và tên của chủ hộ kinh doanh, cá nhân kinh doanh; không khai thay đổi thông tin của địa điểm kinh doanh đã bị cơ quan thuế thông báo không hoạt động tại địa chỉ đã đăng ký). Trên cơ sở hồ sơ của người nộp thuế, cơ quan thuế thực hiện cập nhật thông tin số định danh của cá nhân là chủ hộ kinh doanh, cá nhân kinh doanh để sử dụng số định danh cá nhân làm MST theo quy định.</w:t>
      </w:r>
    </w:p>
    <w:p w:rsidR="00380A6A" w:rsidRPr="00380A6A" w:rsidRDefault="00380A6A" w:rsidP="00380A6A">
      <w:pPr>
        <w:spacing w:after="120" w:line="240" w:lineRule="auto"/>
        <w:rPr>
          <w:rFonts w:ascii="Arial" w:eastAsia="Times New Roman" w:hAnsi="Arial" w:cs="Arial"/>
          <w:color w:val="222222"/>
          <w:sz w:val="24"/>
          <w:lang w:eastAsia="vi-VN"/>
        </w:rPr>
      </w:pPr>
      <w:r w:rsidRPr="00380A6A">
        <w:rPr>
          <w:rFonts w:ascii="Arial" w:eastAsia="Times New Roman" w:hAnsi="Arial" w:cs="Arial"/>
          <w:color w:val="222222"/>
          <w:sz w:val="24"/>
          <w:lang w:eastAsia="vi-VN"/>
        </w:rPr>
        <w:t>Việc cập nhật số định danh cá nhân không làm thay đổi trạng thái “Không hoạt động tại địa chỉ đã đăng ký” đối với MST của hộ kinh doanh, cá nhân kinh doanh, do đó, hộ kinh doanh, cá nhân kinh doanh vẫn phải thực hiện thủ tục khôi phục MST để thực hiện nghĩa vụ thuế phát sinh từ hoạt động kinh doanh, sử dụng hóa đơn theo quy định, hoặc làm thủ tục chấm dứt hiệu lực MST nếu không còn hoạt động kinh doanh.</w:t>
      </w:r>
    </w:p>
    <w:p w:rsidR="00380A6A" w:rsidRPr="00380A6A" w:rsidRDefault="00380A6A" w:rsidP="00380A6A">
      <w:pPr>
        <w:spacing w:after="0" w:line="240" w:lineRule="auto"/>
        <w:rPr>
          <w:rFonts w:ascii="Arial" w:eastAsia="Times New Roman" w:hAnsi="Arial" w:cs="Arial"/>
          <w:color w:val="222222"/>
          <w:sz w:val="24"/>
          <w:lang w:eastAsia="vi-VN"/>
        </w:rPr>
      </w:pPr>
      <w:r w:rsidRPr="00380A6A">
        <w:rPr>
          <w:rFonts w:ascii="Arial" w:eastAsia="Times New Roman" w:hAnsi="Arial" w:cs="Arial"/>
          <w:color w:val="222222"/>
          <w:sz w:val="24"/>
          <w:lang w:eastAsia="vi-VN"/>
        </w:rPr>
        <w:t>3. Trách nhiệm của cơ quan thuế</w:t>
      </w:r>
    </w:p>
    <w:p w:rsidR="00380A6A" w:rsidRPr="00380A6A" w:rsidRDefault="00380A6A" w:rsidP="00380A6A">
      <w:pPr>
        <w:spacing w:after="120" w:line="240" w:lineRule="auto"/>
        <w:rPr>
          <w:rFonts w:ascii="Arial" w:eastAsia="Times New Roman" w:hAnsi="Arial" w:cs="Arial"/>
          <w:color w:val="222222"/>
          <w:sz w:val="24"/>
          <w:lang w:eastAsia="vi-VN"/>
        </w:rPr>
      </w:pPr>
      <w:r w:rsidRPr="00380A6A">
        <w:rPr>
          <w:rFonts w:ascii="Arial" w:eastAsia="Times New Roman" w:hAnsi="Arial" w:cs="Arial"/>
          <w:color w:val="222222"/>
          <w:sz w:val="24"/>
          <w:lang w:eastAsia="vi-VN"/>
        </w:rPr>
        <w:t>Cơ quan thuế quản lý trực tiếp người nộp thuế (là cơ quan thuế quản lý “MST nội bộ” được đánh dấu trên Hệ thống), hoặc Thuế cơ sở nơi cá nhân thường trú hoặc tạm trú (đối với cá nhân không kinh doanh) khi nhận được hồ sơ của người nộp thuế có trách nhiệm tiếp nhận, xử lý theo quy định; hướng dẫn, giải đáp vướng mắc để người nộp thuế thực hiện đúng quy định. Trong quá trình xử lý hồ sơ, vướng mắc của người nộp thuế, nếu có liên quan đến nhiều cơ quan thuế, cơ quan thuế tiếp nhận hồ sơ có trách nhiệm chủ trì, phối hợp với các cơ quan thuế liên quan để giải quyết hồ sơ, vướng mắc cho người nộp thuế, không yêu cầu người nộp thuế đi lại nhiều nơi hoặc đùn đẩy trách nhiệm.</w:t>
      </w:r>
    </w:p>
    <w:p w:rsidR="00380A6A" w:rsidRPr="00380A6A" w:rsidRDefault="00380A6A" w:rsidP="00380A6A">
      <w:pPr>
        <w:spacing w:after="120" w:line="240" w:lineRule="auto"/>
        <w:rPr>
          <w:rFonts w:ascii="Arial" w:eastAsia="Times New Roman" w:hAnsi="Arial" w:cs="Arial"/>
          <w:color w:val="222222"/>
          <w:sz w:val="24"/>
          <w:lang w:eastAsia="vi-VN"/>
        </w:rPr>
      </w:pPr>
      <w:r w:rsidRPr="00380A6A">
        <w:rPr>
          <w:rFonts w:ascii="Arial" w:eastAsia="Times New Roman" w:hAnsi="Arial" w:cs="Arial"/>
          <w:color w:val="222222"/>
          <w:sz w:val="24"/>
          <w:lang w:eastAsia="vi-VN"/>
        </w:rPr>
        <w:t>4. Tổ chức thực hiện</w:t>
      </w:r>
    </w:p>
    <w:p w:rsidR="00380A6A" w:rsidRPr="00380A6A" w:rsidRDefault="00380A6A" w:rsidP="00380A6A">
      <w:pPr>
        <w:spacing w:after="120" w:line="240" w:lineRule="auto"/>
        <w:rPr>
          <w:rFonts w:ascii="Arial" w:eastAsia="Times New Roman" w:hAnsi="Arial" w:cs="Arial"/>
          <w:color w:val="222222"/>
          <w:sz w:val="24"/>
          <w:lang w:eastAsia="vi-VN"/>
        </w:rPr>
      </w:pPr>
      <w:r w:rsidRPr="00380A6A">
        <w:rPr>
          <w:rFonts w:ascii="Arial" w:eastAsia="Times New Roman" w:hAnsi="Arial" w:cs="Arial"/>
          <w:color w:val="222222"/>
          <w:sz w:val="24"/>
          <w:lang w:eastAsia="vi-VN"/>
        </w:rPr>
        <w:t>a) Việc chuyển đổi sang sử dụng số định danh cá nhân làm MST là bước cải cách quan trọng nhằm đồng bộ dữ liệu, nâng cao hiệu quả quản lý thuế và tạo thuận lợi cho người nộp thuế. Cục Thuế đề nghị Thuế tỉnh, thành phố, Chi cục Thuế doanh nghiệp lớn, Chi cục Thuế thương mại điện tử tổ chức triển khai thống nhất, đúng quy định, đảm bảo quyền lợi và nghĩa vụ của người nộp thuế.</w:t>
      </w:r>
    </w:p>
    <w:p w:rsidR="00380A6A" w:rsidRPr="00380A6A" w:rsidRDefault="00380A6A" w:rsidP="00380A6A">
      <w:pPr>
        <w:spacing w:after="120" w:line="240" w:lineRule="auto"/>
        <w:rPr>
          <w:rFonts w:ascii="Arial" w:eastAsia="Times New Roman" w:hAnsi="Arial" w:cs="Arial"/>
          <w:color w:val="222222"/>
          <w:sz w:val="24"/>
          <w:lang w:eastAsia="vi-VN"/>
        </w:rPr>
      </w:pPr>
      <w:r w:rsidRPr="00380A6A">
        <w:rPr>
          <w:rFonts w:ascii="Arial" w:eastAsia="Times New Roman" w:hAnsi="Arial" w:cs="Arial"/>
          <w:color w:val="222222"/>
          <w:sz w:val="24"/>
          <w:lang w:eastAsia="vi-VN"/>
        </w:rPr>
        <w:lastRenderedPageBreak/>
        <w:t>b) Cục Thuế (Ban Nghiệp vụ thuế, Ban Chuyển đổi số) tiếp tục hoàn thiện, nâng cấp hệ thống ứng dụng nhằm tăng cường hỗ trợ người nộp thuế thực hiện cập nhật số định danh cá nhân để chuyển sang số định danh cá nhân làm MST theo quy định tại Thông tư số </w:t>
      </w:r>
      <w:r w:rsidRPr="00380A6A">
        <w:rPr>
          <w:rFonts w:ascii="Arial" w:eastAsia="Times New Roman" w:hAnsi="Arial" w:cs="Arial"/>
          <w:color w:val="A67C52"/>
          <w:sz w:val="24"/>
          <w:u w:val="single"/>
          <w:lang w:eastAsia="vi-VN"/>
        </w:rPr>
        <w:t>86/2024/TT-BTC</w:t>
      </w:r>
      <w:r w:rsidRPr="00380A6A">
        <w:rPr>
          <w:rFonts w:ascii="Arial" w:eastAsia="Times New Roman" w:hAnsi="Arial" w:cs="Arial"/>
          <w:color w:val="222222"/>
          <w:sz w:val="24"/>
          <w:lang w:eastAsia="vi-VN"/>
        </w:rPr>
        <w:t>, phục vụ thuận lợi cho người nộp thuế thực hiện các nghĩa vụ thuế theo quy định của pháp luật.</w:t>
      </w:r>
    </w:p>
    <w:p w:rsidR="00380A6A" w:rsidRPr="00380A6A" w:rsidRDefault="00380A6A" w:rsidP="00380A6A">
      <w:pPr>
        <w:spacing w:after="0" w:line="240" w:lineRule="auto"/>
        <w:rPr>
          <w:rFonts w:ascii="Arial" w:eastAsia="Times New Roman" w:hAnsi="Arial" w:cs="Arial"/>
          <w:color w:val="222222"/>
          <w:sz w:val="24"/>
          <w:lang w:eastAsia="vi-VN"/>
        </w:rPr>
      </w:pPr>
      <w:r w:rsidRPr="00380A6A">
        <w:rPr>
          <w:rFonts w:ascii="Arial" w:eastAsia="Times New Roman" w:hAnsi="Arial" w:cs="Arial"/>
          <w:color w:val="222222"/>
          <w:sz w:val="24"/>
          <w:lang w:eastAsia="vi-VN"/>
        </w:rPr>
        <w:t>c) Trong quá trình thực hiện, nếu có phát sinh vướng mắc, Thuế các tỉnh/thành phố, Chi cục Thuế doanh nghiệp lớn, Chi cục Thuế Thương mại điện tử chủ động tổng hợp, báo cáo kịp thời về Cục Thuế để được hướng dẫn.</w:t>
      </w:r>
    </w:p>
    <w:p w:rsidR="00380A6A" w:rsidRPr="00380A6A" w:rsidRDefault="00380A6A" w:rsidP="00380A6A">
      <w:pPr>
        <w:spacing w:after="0" w:line="240" w:lineRule="auto"/>
        <w:rPr>
          <w:rFonts w:ascii="Arial" w:eastAsia="Times New Roman" w:hAnsi="Arial" w:cs="Arial"/>
          <w:color w:val="222222"/>
          <w:sz w:val="24"/>
          <w:lang w:eastAsia="vi-VN"/>
        </w:rPr>
      </w:pPr>
      <w:r w:rsidRPr="00380A6A">
        <w:rPr>
          <w:rFonts w:ascii="Arial" w:eastAsia="Times New Roman" w:hAnsi="Arial" w:cs="Arial"/>
          <w:color w:val="222222"/>
          <w:sz w:val="24"/>
          <w:lang w:eastAsia="vi-VN"/>
        </w:rPr>
        <w:t>- Đầu mối nghiệp vụ: Đ/c Phạm Thị Hà, Ban Nghiệp vụ thuế (Email: Ptha@gdt.gov.vn).</w:t>
      </w:r>
    </w:p>
    <w:p w:rsidR="00380A6A" w:rsidRPr="00380A6A" w:rsidRDefault="00380A6A" w:rsidP="00380A6A">
      <w:pPr>
        <w:spacing w:after="0" w:line="240" w:lineRule="auto"/>
        <w:rPr>
          <w:rFonts w:ascii="Arial" w:eastAsia="Times New Roman" w:hAnsi="Arial" w:cs="Arial"/>
          <w:color w:val="222222"/>
          <w:sz w:val="24"/>
          <w:lang w:eastAsia="vi-VN"/>
        </w:rPr>
      </w:pPr>
      <w:r w:rsidRPr="00380A6A">
        <w:rPr>
          <w:rFonts w:ascii="Arial" w:eastAsia="Times New Roman" w:hAnsi="Arial" w:cs="Arial"/>
          <w:color w:val="222222"/>
          <w:sz w:val="24"/>
          <w:lang w:eastAsia="vi-VN"/>
        </w:rPr>
        <w:t>- Đầu mối kỹ thuật: Đ/c Đặng Thị Dịu, Ban Chuyển đổi số (Email: Dtdiu@gdt.gov.vn).</w:t>
      </w:r>
    </w:p>
    <w:p w:rsidR="00380A6A" w:rsidRPr="00380A6A" w:rsidRDefault="00380A6A" w:rsidP="00380A6A">
      <w:pPr>
        <w:spacing w:after="120" w:line="240" w:lineRule="auto"/>
        <w:rPr>
          <w:rFonts w:ascii="Arial" w:eastAsia="Times New Roman" w:hAnsi="Arial" w:cs="Arial"/>
          <w:color w:val="222222"/>
          <w:sz w:val="24"/>
          <w:lang w:eastAsia="vi-VN"/>
        </w:rPr>
      </w:pPr>
      <w:r w:rsidRPr="00380A6A">
        <w:rPr>
          <w:rFonts w:ascii="Arial" w:eastAsia="Times New Roman" w:hAnsi="Arial" w:cs="Arial"/>
          <w:color w:val="222222"/>
          <w:sz w:val="24"/>
          <w:lang w:eastAsia="vi-VN"/>
        </w:rPr>
        <w:t>Cục Thuế thông báo để các Thuế tỉnh, thành phố, Chi cục Thuế doanh nghiệp lớn, Chi cục Thuế thương mại điện tử biết và thực hiện./.</w:t>
      </w:r>
    </w:p>
    <w:tbl>
      <w:tblPr>
        <w:tblW w:w="5000" w:type="pct"/>
        <w:tblCellMar>
          <w:left w:w="0" w:type="dxa"/>
          <w:right w:w="0" w:type="dxa"/>
        </w:tblCellMar>
        <w:tblLook w:val="04A0" w:firstRow="1" w:lastRow="0" w:firstColumn="1" w:lastColumn="0" w:noHBand="0" w:noVBand="1"/>
      </w:tblPr>
      <w:tblGrid>
        <w:gridCol w:w="4468"/>
        <w:gridCol w:w="4558"/>
      </w:tblGrid>
      <w:tr w:rsidR="00380A6A" w:rsidRPr="00380A6A" w:rsidTr="00380A6A">
        <w:tc>
          <w:tcPr>
            <w:tcW w:w="2450" w:type="pct"/>
            <w:tcMar>
              <w:top w:w="45" w:type="dxa"/>
              <w:left w:w="45" w:type="dxa"/>
              <w:bottom w:w="45" w:type="dxa"/>
              <w:right w:w="45" w:type="dxa"/>
            </w:tcMar>
            <w:hideMark/>
          </w:tcPr>
          <w:p w:rsidR="00380A6A" w:rsidRPr="00380A6A" w:rsidRDefault="00380A6A" w:rsidP="00380A6A">
            <w:pPr>
              <w:spacing w:after="0" w:line="240" w:lineRule="auto"/>
              <w:rPr>
                <w:rFonts w:eastAsia="Times New Roman" w:cs="Times New Roman"/>
                <w:color w:val="222222"/>
                <w:sz w:val="24"/>
                <w:lang w:eastAsia="vi-VN"/>
              </w:rPr>
            </w:pPr>
            <w:r w:rsidRPr="00380A6A">
              <w:rPr>
                <w:rFonts w:eastAsia="Times New Roman" w:cs="Times New Roman"/>
                <w:b/>
                <w:bCs/>
                <w:i/>
                <w:iCs/>
                <w:color w:val="222222"/>
                <w:sz w:val="24"/>
                <w:lang w:eastAsia="vi-VN"/>
              </w:rPr>
              <w:t>Nơi nhận</w:t>
            </w:r>
            <w:r w:rsidRPr="00380A6A">
              <w:rPr>
                <w:rFonts w:eastAsia="Times New Roman" w:cs="Times New Roman"/>
                <w:color w:val="222222"/>
                <w:sz w:val="24"/>
                <w:lang w:eastAsia="vi-VN"/>
              </w:rPr>
              <w:t>:</w:t>
            </w:r>
            <w:r w:rsidRPr="00380A6A">
              <w:rPr>
                <w:rFonts w:eastAsia="Times New Roman" w:cs="Times New Roman"/>
                <w:color w:val="222222"/>
                <w:sz w:val="24"/>
                <w:lang w:eastAsia="vi-VN"/>
              </w:rPr>
              <w:br/>
              <w:t>- Như trên;</w:t>
            </w:r>
            <w:r w:rsidRPr="00380A6A">
              <w:rPr>
                <w:rFonts w:eastAsia="Times New Roman" w:cs="Times New Roman"/>
                <w:color w:val="222222"/>
                <w:sz w:val="24"/>
                <w:lang w:eastAsia="vi-VN"/>
              </w:rPr>
              <w:br/>
              <w:t>- Đ/c Cục trưởng (để b/c);</w:t>
            </w:r>
            <w:r w:rsidRPr="00380A6A">
              <w:rPr>
                <w:rFonts w:eastAsia="Times New Roman" w:cs="Times New Roman"/>
                <w:color w:val="222222"/>
                <w:sz w:val="24"/>
                <w:lang w:eastAsia="vi-VN"/>
              </w:rPr>
              <w:br/>
              <w:t>- Các đ/c Phó Cục trưởng (để b/c);</w:t>
            </w:r>
            <w:r w:rsidRPr="00380A6A">
              <w:rPr>
                <w:rFonts w:eastAsia="Times New Roman" w:cs="Times New Roman"/>
                <w:color w:val="222222"/>
                <w:sz w:val="24"/>
                <w:lang w:eastAsia="vi-VN"/>
              </w:rPr>
              <w:br/>
              <w:t>- Các Ban: PC, CS, CĐS;</w:t>
            </w:r>
            <w:r w:rsidRPr="00380A6A">
              <w:rPr>
                <w:rFonts w:eastAsia="Times New Roman" w:cs="Times New Roman"/>
                <w:color w:val="222222"/>
                <w:sz w:val="24"/>
                <w:lang w:eastAsia="vi-VN"/>
              </w:rPr>
              <w:br/>
              <w:t>- Lưu: VT, NVT.</w:t>
            </w:r>
          </w:p>
          <w:p w:rsidR="00380A6A" w:rsidRPr="00380A6A" w:rsidRDefault="00380A6A" w:rsidP="00380A6A">
            <w:pPr>
              <w:spacing w:after="0" w:line="240" w:lineRule="auto"/>
              <w:rPr>
                <w:rFonts w:eastAsia="Times New Roman" w:cs="Times New Roman"/>
                <w:color w:val="222222"/>
                <w:sz w:val="24"/>
                <w:lang w:eastAsia="vi-VN"/>
              </w:rPr>
            </w:pPr>
            <w:r w:rsidRPr="00380A6A">
              <w:rPr>
                <w:rFonts w:eastAsia="Times New Roman" w:cs="Times New Roman"/>
                <w:color w:val="222222"/>
                <w:sz w:val="24"/>
                <w:lang w:eastAsia="vi-VN"/>
              </w:rPr>
              <w:t> </w:t>
            </w:r>
          </w:p>
        </w:tc>
        <w:tc>
          <w:tcPr>
            <w:tcW w:w="2500" w:type="pct"/>
            <w:tcMar>
              <w:top w:w="45" w:type="dxa"/>
              <w:left w:w="45" w:type="dxa"/>
              <w:bottom w:w="45" w:type="dxa"/>
              <w:right w:w="45" w:type="dxa"/>
            </w:tcMar>
            <w:hideMark/>
          </w:tcPr>
          <w:p w:rsidR="00380A6A" w:rsidRPr="00380A6A" w:rsidRDefault="00380A6A" w:rsidP="00380A6A">
            <w:pPr>
              <w:spacing w:after="0" w:line="240" w:lineRule="auto"/>
              <w:jc w:val="center"/>
              <w:rPr>
                <w:rFonts w:eastAsia="Times New Roman" w:cs="Times New Roman"/>
                <w:color w:val="222222"/>
                <w:sz w:val="24"/>
                <w:lang w:eastAsia="vi-VN"/>
              </w:rPr>
            </w:pPr>
            <w:r w:rsidRPr="00380A6A">
              <w:rPr>
                <w:rFonts w:eastAsia="Times New Roman" w:cs="Times New Roman"/>
                <w:b/>
                <w:bCs/>
                <w:color w:val="222222"/>
                <w:sz w:val="24"/>
                <w:lang w:eastAsia="vi-VN"/>
              </w:rPr>
              <w:t>TL. CỤC TRƯỞNG</w:t>
            </w:r>
            <w:r w:rsidRPr="00380A6A">
              <w:rPr>
                <w:rFonts w:eastAsia="Times New Roman" w:cs="Times New Roman"/>
                <w:b/>
                <w:bCs/>
                <w:color w:val="222222"/>
                <w:sz w:val="24"/>
                <w:lang w:eastAsia="vi-VN"/>
              </w:rPr>
              <w:br/>
              <w:t>KT. TRƯỞNG BAN NGHIỆP VỤ THUẾ</w:t>
            </w:r>
            <w:r w:rsidRPr="00380A6A">
              <w:rPr>
                <w:rFonts w:eastAsia="Times New Roman" w:cs="Times New Roman"/>
                <w:color w:val="222222"/>
                <w:sz w:val="24"/>
                <w:lang w:eastAsia="vi-VN"/>
              </w:rPr>
              <w:br/>
            </w:r>
            <w:r w:rsidRPr="00380A6A">
              <w:rPr>
                <w:rFonts w:eastAsia="Times New Roman" w:cs="Times New Roman"/>
                <w:b/>
                <w:bCs/>
                <w:color w:val="222222"/>
                <w:sz w:val="24"/>
                <w:lang w:eastAsia="vi-VN"/>
              </w:rPr>
              <w:t>PHÓ TRƯỞNG BAN</w:t>
            </w:r>
          </w:p>
          <w:p w:rsidR="00380A6A" w:rsidRPr="00380A6A" w:rsidRDefault="00380A6A" w:rsidP="00380A6A">
            <w:pPr>
              <w:spacing w:after="0" w:line="240" w:lineRule="auto"/>
              <w:jc w:val="center"/>
              <w:rPr>
                <w:rFonts w:eastAsia="Times New Roman" w:cs="Times New Roman"/>
                <w:color w:val="222222"/>
                <w:sz w:val="24"/>
                <w:lang w:eastAsia="vi-VN"/>
              </w:rPr>
            </w:pPr>
            <w:r w:rsidRPr="00380A6A">
              <w:rPr>
                <w:rFonts w:eastAsia="Times New Roman" w:cs="Times New Roman"/>
                <w:color w:val="222222"/>
                <w:sz w:val="24"/>
                <w:lang w:eastAsia="vi-VN"/>
              </w:rPr>
              <w:br/>
            </w:r>
            <w:r w:rsidRPr="00380A6A">
              <w:rPr>
                <w:rFonts w:eastAsia="Times New Roman" w:cs="Times New Roman"/>
                <w:color w:val="222222"/>
                <w:sz w:val="24"/>
                <w:lang w:eastAsia="vi-VN"/>
              </w:rPr>
              <w:br/>
              <w:t> </w:t>
            </w:r>
          </w:p>
          <w:p w:rsidR="00380A6A" w:rsidRPr="00380A6A" w:rsidRDefault="00380A6A" w:rsidP="00380A6A">
            <w:pPr>
              <w:spacing w:after="0" w:line="240" w:lineRule="auto"/>
              <w:jc w:val="center"/>
              <w:rPr>
                <w:rFonts w:eastAsia="Times New Roman" w:cs="Times New Roman"/>
                <w:color w:val="222222"/>
                <w:sz w:val="24"/>
                <w:lang w:eastAsia="vi-VN"/>
              </w:rPr>
            </w:pPr>
            <w:r w:rsidRPr="00380A6A">
              <w:rPr>
                <w:rFonts w:eastAsia="Times New Roman" w:cs="Times New Roman"/>
                <w:b/>
                <w:bCs/>
                <w:color w:val="222222"/>
                <w:sz w:val="24"/>
                <w:lang w:eastAsia="vi-VN"/>
              </w:rPr>
              <w:t>Nguyễn Đức Huy</w:t>
            </w:r>
          </w:p>
        </w:tc>
      </w:tr>
    </w:tbl>
    <w:p w:rsidR="00380A6A" w:rsidRPr="00380A6A" w:rsidRDefault="00380A6A" w:rsidP="00380A6A">
      <w:pPr>
        <w:spacing w:after="0" w:line="240" w:lineRule="auto"/>
        <w:jc w:val="center"/>
        <w:rPr>
          <w:rFonts w:ascii="Arial" w:eastAsia="Times New Roman" w:hAnsi="Arial" w:cs="Arial"/>
          <w:color w:val="222222"/>
          <w:sz w:val="24"/>
          <w:lang w:eastAsia="vi-VN"/>
        </w:rPr>
      </w:pPr>
      <w:r w:rsidRPr="00380A6A">
        <w:rPr>
          <w:rFonts w:ascii="Arial" w:eastAsia="Times New Roman" w:hAnsi="Arial" w:cs="Arial"/>
          <w:b/>
          <w:bCs/>
          <w:color w:val="222222"/>
          <w:sz w:val="24"/>
          <w:lang w:eastAsia="vi-VN"/>
        </w:rPr>
        <w:t>Phụ lục 01</w:t>
      </w:r>
      <w:r w:rsidRPr="00380A6A">
        <w:rPr>
          <w:rFonts w:ascii="Arial" w:eastAsia="Times New Roman" w:hAnsi="Arial" w:cs="Arial"/>
          <w:color w:val="222222"/>
          <w:sz w:val="24"/>
          <w:lang w:eastAsia="vi-VN"/>
        </w:rPr>
        <w:br/>
      </w:r>
      <w:r w:rsidRPr="00380A6A">
        <w:rPr>
          <w:rFonts w:ascii="Arial" w:eastAsia="Times New Roman" w:hAnsi="Arial" w:cs="Arial"/>
          <w:b/>
          <w:bCs/>
          <w:color w:val="222222"/>
          <w:sz w:val="24"/>
          <w:lang w:eastAsia="vi-VN"/>
        </w:rPr>
        <w:t>HƯỚNG DẪN TRA CỨU TRẠNG THÁI MST CÁ NHÂN</w:t>
      </w:r>
      <w:r w:rsidRPr="00380A6A">
        <w:rPr>
          <w:rFonts w:ascii="Arial" w:eastAsia="Times New Roman" w:hAnsi="Arial" w:cs="Arial"/>
          <w:color w:val="222222"/>
          <w:sz w:val="24"/>
          <w:lang w:eastAsia="vi-VN"/>
        </w:rPr>
        <w:br/>
      </w:r>
      <w:r w:rsidRPr="00380A6A">
        <w:rPr>
          <w:rFonts w:ascii="Arial" w:eastAsia="Times New Roman" w:hAnsi="Arial" w:cs="Arial"/>
          <w:i/>
          <w:iCs/>
          <w:color w:val="222222"/>
          <w:sz w:val="24"/>
          <w:lang w:eastAsia="vi-VN"/>
        </w:rPr>
        <w:t>(Kèm theo công văn số: 3422/CT-NVT ngày 27/5/2026 của Cục Thuế)</w:t>
      </w:r>
    </w:p>
    <w:p w:rsidR="00380A6A" w:rsidRPr="00380A6A" w:rsidRDefault="00380A6A" w:rsidP="00380A6A">
      <w:pPr>
        <w:spacing w:after="0" w:line="240" w:lineRule="auto"/>
        <w:jc w:val="center"/>
        <w:rPr>
          <w:rFonts w:ascii="Arial" w:eastAsia="Times New Roman" w:hAnsi="Arial" w:cs="Arial"/>
          <w:color w:val="222222"/>
          <w:sz w:val="24"/>
          <w:lang w:eastAsia="vi-VN"/>
        </w:rPr>
      </w:pPr>
      <w:r w:rsidRPr="00380A6A">
        <w:rPr>
          <w:rFonts w:ascii="Arial" w:eastAsia="Times New Roman" w:hAnsi="Arial" w:cs="Arial"/>
          <w:color w:val="222222"/>
          <w:sz w:val="24"/>
          <w:lang w:eastAsia="vi-VN"/>
        </w:rPr>
        <w:t> </w:t>
      </w:r>
    </w:p>
    <w:p w:rsidR="00380A6A" w:rsidRPr="00380A6A" w:rsidRDefault="00380A6A" w:rsidP="00380A6A">
      <w:pPr>
        <w:spacing w:after="120" w:line="240" w:lineRule="auto"/>
        <w:rPr>
          <w:rFonts w:ascii="Arial" w:eastAsia="Times New Roman" w:hAnsi="Arial" w:cs="Arial"/>
          <w:color w:val="222222"/>
          <w:sz w:val="24"/>
          <w:lang w:eastAsia="vi-VN"/>
        </w:rPr>
      </w:pPr>
      <w:r w:rsidRPr="00380A6A">
        <w:rPr>
          <w:rFonts w:ascii="Arial" w:eastAsia="Times New Roman" w:hAnsi="Arial" w:cs="Arial"/>
          <w:color w:val="222222"/>
          <w:sz w:val="24"/>
          <w:lang w:eastAsia="vi-VN"/>
        </w:rPr>
        <w:t>Cá nhân chủ động tra cứu thông tin để xác định tình trạng MST đã khớp hoặc chưa khớp đúng thông tin với Cơ sở dữ liệu quốc gia về dân cư theo một trong các cách sau:</w:t>
      </w:r>
    </w:p>
    <w:p w:rsidR="00380A6A" w:rsidRPr="00380A6A" w:rsidRDefault="00380A6A" w:rsidP="00380A6A">
      <w:pPr>
        <w:spacing w:after="0" w:line="240" w:lineRule="auto"/>
        <w:ind w:firstLine="720"/>
        <w:jc w:val="both"/>
        <w:rPr>
          <w:rFonts w:ascii="Arial" w:eastAsia="Times New Roman" w:hAnsi="Arial" w:cs="Arial"/>
          <w:color w:val="222222"/>
          <w:sz w:val="24"/>
          <w:lang w:eastAsia="vi-VN"/>
        </w:rPr>
      </w:pPr>
      <w:r w:rsidRPr="00380A6A">
        <w:rPr>
          <w:rFonts w:ascii="Arial" w:eastAsia="Times New Roman" w:hAnsi="Arial" w:cs="Arial"/>
          <w:b/>
          <w:bCs/>
          <w:color w:val="222222"/>
          <w:sz w:val="24"/>
          <w:lang w:eastAsia="vi-VN"/>
        </w:rPr>
        <w:t>1. Cách 1: Tra cứu trên Trang thông tin của Cục Thuế tại địa chỉ </w:t>
      </w:r>
      <w:r w:rsidRPr="00380A6A">
        <w:rPr>
          <w:rFonts w:ascii="Arial" w:eastAsia="Times New Roman" w:hAnsi="Arial" w:cs="Arial"/>
          <w:b/>
          <w:bCs/>
          <w:color w:val="222222"/>
          <w:sz w:val="24"/>
          <w:u w:val="single"/>
          <w:lang w:eastAsia="vi-VN"/>
        </w:rPr>
        <w:t>http://tracuunnt.gdt.gov.vn</w:t>
      </w:r>
      <w:r w:rsidRPr="00380A6A">
        <w:rPr>
          <w:rFonts w:ascii="Arial" w:eastAsia="Times New Roman" w:hAnsi="Arial" w:cs="Arial"/>
          <w:b/>
          <w:bCs/>
          <w:color w:val="222222"/>
          <w:sz w:val="24"/>
          <w:lang w:eastAsia="vi-VN"/>
        </w:rPr>
        <w:t>.</w:t>
      </w:r>
    </w:p>
    <w:p w:rsidR="00380A6A" w:rsidRPr="00380A6A" w:rsidRDefault="00380A6A" w:rsidP="00380A6A">
      <w:pPr>
        <w:spacing w:after="0" w:line="240" w:lineRule="auto"/>
        <w:ind w:firstLine="720"/>
        <w:jc w:val="both"/>
        <w:rPr>
          <w:rFonts w:ascii="Arial" w:eastAsia="Times New Roman" w:hAnsi="Arial" w:cs="Arial"/>
          <w:color w:val="222222"/>
          <w:sz w:val="24"/>
          <w:lang w:eastAsia="vi-VN"/>
        </w:rPr>
      </w:pPr>
      <w:r w:rsidRPr="00380A6A">
        <w:rPr>
          <w:rFonts w:ascii="Arial" w:eastAsia="Times New Roman" w:hAnsi="Arial" w:cs="Arial"/>
          <w:color w:val="222222"/>
          <w:sz w:val="24"/>
          <w:lang w:eastAsia="vi-VN"/>
        </w:rPr>
        <w:t>- Chọn mục “Thông tin về người nộp thuế TNCN”.</w:t>
      </w:r>
    </w:p>
    <w:p w:rsidR="00380A6A" w:rsidRPr="00380A6A" w:rsidRDefault="00380A6A" w:rsidP="00380A6A">
      <w:pPr>
        <w:spacing w:after="0" w:line="240" w:lineRule="auto"/>
        <w:ind w:firstLine="720"/>
        <w:jc w:val="both"/>
        <w:rPr>
          <w:rFonts w:ascii="Arial" w:eastAsia="Times New Roman" w:hAnsi="Arial" w:cs="Arial"/>
          <w:color w:val="222222"/>
          <w:sz w:val="24"/>
          <w:lang w:eastAsia="vi-VN"/>
        </w:rPr>
      </w:pPr>
      <w:r w:rsidRPr="00380A6A">
        <w:rPr>
          <w:rFonts w:ascii="Arial" w:eastAsia="Times New Roman" w:hAnsi="Arial" w:cs="Arial"/>
          <w:color w:val="222222"/>
          <w:sz w:val="24"/>
          <w:lang w:eastAsia="vi-VN"/>
        </w:rPr>
        <w:t>- Nhập MST (mã 10 chữ số) đã cấp tại trường “MST”.</w:t>
      </w:r>
    </w:p>
    <w:p w:rsidR="00380A6A" w:rsidRPr="00380A6A" w:rsidRDefault="00380A6A" w:rsidP="00380A6A">
      <w:pPr>
        <w:spacing w:after="0" w:line="240" w:lineRule="auto"/>
        <w:ind w:firstLine="720"/>
        <w:jc w:val="both"/>
        <w:rPr>
          <w:rFonts w:ascii="Arial" w:eastAsia="Times New Roman" w:hAnsi="Arial" w:cs="Arial"/>
          <w:color w:val="222222"/>
          <w:sz w:val="24"/>
          <w:lang w:eastAsia="vi-VN"/>
        </w:rPr>
      </w:pPr>
      <w:r w:rsidRPr="00380A6A">
        <w:rPr>
          <w:rFonts w:ascii="Arial" w:eastAsia="Times New Roman" w:hAnsi="Arial" w:cs="Arial"/>
          <w:color w:val="222222"/>
          <w:sz w:val="24"/>
          <w:lang w:eastAsia="vi-VN"/>
        </w:rPr>
        <w:t>- Nhập “Mã xác nhận”: Là các ký tự hiển thị bên phải cho từng phiên giao dịch.</w:t>
      </w:r>
    </w:p>
    <w:p w:rsidR="00380A6A" w:rsidRPr="00380A6A" w:rsidRDefault="00380A6A" w:rsidP="00380A6A">
      <w:pPr>
        <w:spacing w:after="0" w:line="240" w:lineRule="auto"/>
        <w:ind w:firstLine="720"/>
        <w:jc w:val="both"/>
        <w:rPr>
          <w:rFonts w:ascii="Arial" w:eastAsia="Times New Roman" w:hAnsi="Arial" w:cs="Arial"/>
          <w:color w:val="222222"/>
          <w:sz w:val="24"/>
          <w:lang w:eastAsia="vi-VN"/>
        </w:rPr>
      </w:pPr>
      <w:r w:rsidRPr="00380A6A">
        <w:rPr>
          <w:rFonts w:ascii="Arial" w:eastAsia="Times New Roman" w:hAnsi="Arial" w:cs="Arial"/>
          <w:color w:val="222222"/>
          <w:sz w:val="24"/>
          <w:lang w:eastAsia="vi-VN"/>
        </w:rPr>
        <w:t>- Ấn nút “Tra cứu”.</w:t>
      </w:r>
    </w:p>
    <w:p w:rsidR="00380A6A" w:rsidRPr="00380A6A" w:rsidRDefault="00380A6A" w:rsidP="00380A6A">
      <w:pPr>
        <w:spacing w:after="0" w:line="240" w:lineRule="auto"/>
        <w:ind w:firstLine="720"/>
        <w:jc w:val="both"/>
        <w:rPr>
          <w:rFonts w:ascii="Arial" w:eastAsia="Times New Roman" w:hAnsi="Arial" w:cs="Arial"/>
          <w:color w:val="222222"/>
          <w:sz w:val="24"/>
          <w:lang w:eastAsia="vi-VN"/>
        </w:rPr>
      </w:pPr>
      <w:r w:rsidRPr="00380A6A">
        <w:rPr>
          <w:rFonts w:ascii="Arial" w:eastAsia="Times New Roman" w:hAnsi="Arial" w:cs="Arial"/>
          <w:color w:val="222222"/>
          <w:sz w:val="24"/>
          <w:lang w:eastAsia="vi-VN"/>
        </w:rPr>
        <w:t>- Màn hình hiển thị kết quả tra cứu.</w:t>
      </w:r>
    </w:p>
    <w:p w:rsidR="00380A6A" w:rsidRPr="00380A6A" w:rsidRDefault="00380A6A" w:rsidP="00380A6A">
      <w:pPr>
        <w:spacing w:after="0" w:line="240" w:lineRule="auto"/>
        <w:rPr>
          <w:rFonts w:ascii="Arial" w:eastAsia="Times New Roman" w:hAnsi="Arial" w:cs="Arial"/>
          <w:color w:val="222222"/>
          <w:sz w:val="24"/>
          <w:lang w:eastAsia="vi-VN"/>
        </w:rPr>
      </w:pPr>
      <w:r w:rsidRPr="00380A6A">
        <w:rPr>
          <w:rFonts w:ascii="Arial" w:eastAsia="Times New Roman" w:hAnsi="Arial" w:cs="Arial"/>
          <w:color w:val="222222"/>
          <w:sz w:val="24"/>
          <w:lang w:eastAsia="vi-VN"/>
        </w:rPr>
        <w:t xml:space="preserve">+ Thông tin tại cột “Trạng thái MST” là “NNT đang hoạt động” tương ứng với trường hợp MST đã khớp đúng thông tin với cơ sở dữ liệu quốc gia về dân cư. Cá nhân đã </w:t>
      </w:r>
      <w:r w:rsidRPr="00380A6A">
        <w:rPr>
          <w:rFonts w:ascii="Arial" w:eastAsia="Times New Roman" w:hAnsi="Arial" w:cs="Arial"/>
          <w:color w:val="222222"/>
          <w:sz w:val="24"/>
          <w:lang w:eastAsia="vi-VN"/>
        </w:rPr>
        <w:lastRenderedPageBreak/>
        <w:t>hoàn thành thủ tục cập nhật số định danh cá nhân đối với MST có trạng thái này.</w:t>
      </w:r>
      <w:r w:rsidRPr="00380A6A">
        <w:rPr>
          <w:rFonts w:ascii="Arial" w:eastAsia="Times New Roman" w:hAnsi="Arial" w:cs="Arial"/>
          <w:color w:val="222222"/>
          <w:sz w:val="24"/>
          <w:lang w:eastAsia="vi-VN"/>
        </w:rPr>
        <w:br/>
      </w:r>
      <w:r w:rsidRPr="00380A6A">
        <w:rPr>
          <w:rFonts w:ascii="Arial" w:eastAsia="Times New Roman" w:hAnsi="Arial" w:cs="Arial"/>
          <w:noProof/>
          <w:color w:val="222222"/>
          <w:sz w:val="24"/>
          <w:lang w:eastAsia="vi-VN"/>
        </w:rPr>
        <w:drawing>
          <wp:inline distT="0" distB="0" distL="0" distR="0" wp14:anchorId="62416211" wp14:editId="5B27364A">
            <wp:extent cx="5553075" cy="3467100"/>
            <wp:effectExtent l="0" t="0" r="9525" b="0"/>
            <wp:docPr id="1" name="Picture 1" descr="https://image3.luatvietnam.vn/uploaded/images/original/2026/05/30/makebase64img_435942_32_1_093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age3.luatvietnam.vn/uploaded/images/original/2026/05/30/makebase64img_435942_32_1_09310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53075" cy="3467100"/>
                    </a:xfrm>
                    <a:prstGeom prst="rect">
                      <a:avLst/>
                    </a:prstGeom>
                    <a:noFill/>
                    <a:ln>
                      <a:noFill/>
                    </a:ln>
                  </pic:spPr>
                </pic:pic>
              </a:graphicData>
            </a:graphic>
          </wp:inline>
        </w:drawing>
      </w:r>
    </w:p>
    <w:p w:rsidR="00380A6A" w:rsidRPr="00380A6A" w:rsidRDefault="00380A6A" w:rsidP="00380A6A">
      <w:pPr>
        <w:spacing w:after="0" w:line="240" w:lineRule="auto"/>
        <w:ind w:firstLine="720"/>
        <w:jc w:val="both"/>
        <w:rPr>
          <w:rFonts w:ascii="Arial" w:eastAsia="Times New Roman" w:hAnsi="Arial" w:cs="Arial"/>
          <w:color w:val="222222"/>
          <w:sz w:val="24"/>
          <w:lang w:eastAsia="vi-VN"/>
        </w:rPr>
      </w:pPr>
      <w:r w:rsidRPr="00380A6A">
        <w:rPr>
          <w:rFonts w:ascii="Arial" w:eastAsia="Times New Roman" w:hAnsi="Arial" w:cs="Arial"/>
          <w:color w:val="222222"/>
          <w:sz w:val="24"/>
          <w:lang w:eastAsia="vi-VN"/>
        </w:rPr>
        <w:t>+ Thông tin tại cột “Trạng thái MST” là “MST chờ cập nhật số định danh cá nhân” tương ứng với trường hợp MST chưa khớp đúng thông tin với cơ sở dữ liệu quốc gia về dân cư. Cá nhân cần thực hiện thủ tục thay đổi thông tin đăng ký thuế để cập nhật thông tin số định danh cá nhân cho MST này.</w:t>
      </w:r>
    </w:p>
    <w:p w:rsidR="00380A6A" w:rsidRPr="00380A6A" w:rsidRDefault="00380A6A" w:rsidP="00380A6A">
      <w:pPr>
        <w:spacing w:after="120" w:line="240" w:lineRule="auto"/>
        <w:rPr>
          <w:rFonts w:ascii="Arial" w:eastAsia="Times New Roman" w:hAnsi="Arial" w:cs="Arial"/>
          <w:color w:val="222222"/>
          <w:sz w:val="24"/>
          <w:lang w:eastAsia="vi-VN"/>
        </w:rPr>
      </w:pPr>
      <w:r w:rsidRPr="00380A6A">
        <w:rPr>
          <w:rFonts w:ascii="Arial" w:eastAsia="Times New Roman" w:hAnsi="Arial" w:cs="Arial"/>
          <w:noProof/>
          <w:color w:val="222222"/>
          <w:sz w:val="24"/>
          <w:lang w:eastAsia="vi-VN"/>
        </w:rPr>
        <w:drawing>
          <wp:inline distT="0" distB="0" distL="0" distR="0" wp14:anchorId="015C0078" wp14:editId="06A9A882">
            <wp:extent cx="5572125" cy="3867150"/>
            <wp:effectExtent l="0" t="0" r="9525" b="0"/>
            <wp:docPr id="2" name="Picture 2" descr="https://image3.luatvietnam.vn/uploaded/images/original/2026/05/30/makebase64img_435942_32_2_093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age3.luatvietnam.vn/uploaded/images/original/2026/05/30/makebase64img_435942_32_2_093105.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72125" cy="3867150"/>
                    </a:xfrm>
                    <a:prstGeom prst="rect">
                      <a:avLst/>
                    </a:prstGeom>
                    <a:noFill/>
                    <a:ln>
                      <a:noFill/>
                    </a:ln>
                  </pic:spPr>
                </pic:pic>
              </a:graphicData>
            </a:graphic>
          </wp:inline>
        </w:drawing>
      </w:r>
      <w:r w:rsidRPr="00380A6A">
        <w:rPr>
          <w:rFonts w:ascii="Arial" w:eastAsia="Times New Roman" w:hAnsi="Arial" w:cs="Arial"/>
          <w:color w:val="222222"/>
          <w:sz w:val="24"/>
          <w:lang w:eastAsia="vi-VN"/>
        </w:rPr>
        <w:br/>
        <w:t xml:space="preserve">+ Trường hợp các MST đã khớp đúng thông tin, người nộp thuế thực hiện tra cứu bằng số định danh cá nhân (nhập số định danh cá nhân gồm 12 chữ số đã cấp tại trường “MST”). Hệ thống sẽ hiển thị thông tin MST sau khi hợp nhất là số định danh </w:t>
      </w:r>
      <w:r w:rsidRPr="00380A6A">
        <w:rPr>
          <w:rFonts w:ascii="Arial" w:eastAsia="Times New Roman" w:hAnsi="Arial" w:cs="Arial"/>
          <w:color w:val="222222"/>
          <w:sz w:val="24"/>
          <w:lang w:eastAsia="vi-VN"/>
        </w:rPr>
        <w:lastRenderedPageBreak/>
        <w:t>cá nhân. Cá nhân được sử dụng số định danh cá nhân thay cho MST đã cấp và không phải làm thủ tục đóng các MST đã cấp.</w:t>
      </w:r>
      <w:r w:rsidRPr="00380A6A">
        <w:rPr>
          <w:rFonts w:ascii="Arial" w:eastAsia="Times New Roman" w:hAnsi="Arial" w:cs="Arial"/>
          <w:color w:val="222222"/>
          <w:sz w:val="24"/>
          <w:lang w:eastAsia="vi-VN"/>
        </w:rPr>
        <w:br/>
      </w:r>
      <w:r w:rsidRPr="00380A6A">
        <w:rPr>
          <w:rFonts w:ascii="Arial" w:eastAsia="Times New Roman" w:hAnsi="Arial" w:cs="Arial"/>
          <w:noProof/>
          <w:color w:val="222222"/>
          <w:sz w:val="24"/>
          <w:lang w:eastAsia="vi-VN"/>
        </w:rPr>
        <w:drawing>
          <wp:inline distT="0" distB="0" distL="0" distR="0" wp14:anchorId="418AAA59" wp14:editId="560FE78A">
            <wp:extent cx="5638800" cy="3819525"/>
            <wp:effectExtent l="0" t="0" r="0" b="9525"/>
            <wp:docPr id="3" name="Picture 3" descr="https://image3.luatvietnam.vn/uploaded/images/original/2026/05/30/makebase64img_435942_32_3_093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3.luatvietnam.vn/uploaded/images/original/2026/05/30/makebase64img_435942_32_3_09310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8800" cy="3819525"/>
                    </a:xfrm>
                    <a:prstGeom prst="rect">
                      <a:avLst/>
                    </a:prstGeom>
                    <a:noFill/>
                    <a:ln>
                      <a:noFill/>
                    </a:ln>
                  </pic:spPr>
                </pic:pic>
              </a:graphicData>
            </a:graphic>
          </wp:inline>
        </w:drawing>
      </w:r>
    </w:p>
    <w:p w:rsidR="00380A6A" w:rsidRPr="00380A6A" w:rsidRDefault="00380A6A" w:rsidP="00380A6A">
      <w:pPr>
        <w:spacing w:after="0" w:line="240" w:lineRule="auto"/>
        <w:ind w:firstLine="720"/>
        <w:jc w:val="both"/>
        <w:rPr>
          <w:rFonts w:ascii="Arial" w:eastAsia="Times New Roman" w:hAnsi="Arial" w:cs="Arial"/>
          <w:color w:val="222222"/>
          <w:sz w:val="24"/>
          <w:lang w:eastAsia="vi-VN"/>
        </w:rPr>
      </w:pPr>
      <w:r w:rsidRPr="00380A6A">
        <w:rPr>
          <w:rFonts w:ascii="Arial" w:eastAsia="Times New Roman" w:hAnsi="Arial" w:cs="Arial"/>
          <w:b/>
          <w:bCs/>
          <w:color w:val="222222"/>
          <w:sz w:val="24"/>
          <w:lang w:eastAsia="vi-VN"/>
        </w:rPr>
        <w:t>2. Cách 2: Tra cứu trên Etax Mobile nếu người nộp thuế đã cài đặt và đăng nhập được Etax Mobile.</w:t>
      </w:r>
    </w:p>
    <w:p w:rsidR="00380A6A" w:rsidRPr="00380A6A" w:rsidRDefault="00380A6A" w:rsidP="00380A6A">
      <w:pPr>
        <w:spacing w:after="0" w:line="240" w:lineRule="auto"/>
        <w:ind w:firstLine="720"/>
        <w:jc w:val="both"/>
        <w:rPr>
          <w:rFonts w:ascii="Arial" w:eastAsia="Times New Roman" w:hAnsi="Arial" w:cs="Arial"/>
          <w:color w:val="222222"/>
          <w:sz w:val="24"/>
          <w:lang w:eastAsia="vi-VN"/>
        </w:rPr>
      </w:pPr>
      <w:r w:rsidRPr="00380A6A">
        <w:rPr>
          <w:rFonts w:ascii="Arial" w:eastAsia="Times New Roman" w:hAnsi="Arial" w:cs="Arial"/>
          <w:color w:val="222222"/>
          <w:sz w:val="24"/>
          <w:lang w:eastAsia="vi-VN"/>
        </w:rPr>
        <w:t>- Đăng nhập vào Etax Mobile.</w:t>
      </w:r>
    </w:p>
    <w:p w:rsidR="00380A6A" w:rsidRPr="00380A6A" w:rsidRDefault="00380A6A" w:rsidP="00380A6A">
      <w:pPr>
        <w:spacing w:after="0" w:line="240" w:lineRule="auto"/>
        <w:ind w:firstLine="720"/>
        <w:jc w:val="both"/>
        <w:rPr>
          <w:rFonts w:ascii="Arial" w:eastAsia="Times New Roman" w:hAnsi="Arial" w:cs="Arial"/>
          <w:color w:val="222222"/>
          <w:sz w:val="24"/>
          <w:lang w:eastAsia="vi-VN"/>
        </w:rPr>
      </w:pPr>
      <w:r w:rsidRPr="00380A6A">
        <w:rPr>
          <w:rFonts w:ascii="Arial" w:eastAsia="Times New Roman" w:hAnsi="Arial" w:cs="Arial"/>
          <w:color w:val="222222"/>
          <w:sz w:val="24"/>
          <w:lang w:eastAsia="vi-VN"/>
        </w:rPr>
        <w:t>- Chọn mục “Tiện ích”, chọn “Tra cứu thông tin NNT”.</w:t>
      </w:r>
    </w:p>
    <w:p w:rsidR="00380A6A" w:rsidRPr="00380A6A" w:rsidRDefault="00380A6A" w:rsidP="00380A6A">
      <w:pPr>
        <w:spacing w:after="0" w:line="240" w:lineRule="auto"/>
        <w:ind w:firstLine="720"/>
        <w:jc w:val="both"/>
        <w:rPr>
          <w:rFonts w:ascii="Arial" w:eastAsia="Times New Roman" w:hAnsi="Arial" w:cs="Arial"/>
          <w:color w:val="222222"/>
          <w:sz w:val="24"/>
          <w:lang w:eastAsia="vi-VN"/>
        </w:rPr>
      </w:pPr>
      <w:r w:rsidRPr="00380A6A">
        <w:rPr>
          <w:rFonts w:ascii="Arial" w:eastAsia="Times New Roman" w:hAnsi="Arial" w:cs="Arial"/>
          <w:color w:val="222222"/>
          <w:sz w:val="24"/>
          <w:lang w:eastAsia="vi-VN"/>
        </w:rPr>
        <w:t>- Nhập MST (mã 10 chữ số hoặc số định danh 12 chữ số) tại trường “MST”.</w:t>
      </w:r>
    </w:p>
    <w:p w:rsidR="00380A6A" w:rsidRPr="00380A6A" w:rsidRDefault="00380A6A" w:rsidP="00380A6A">
      <w:pPr>
        <w:spacing w:after="0" w:line="240" w:lineRule="auto"/>
        <w:ind w:firstLine="720"/>
        <w:jc w:val="both"/>
        <w:rPr>
          <w:rFonts w:ascii="Arial" w:eastAsia="Times New Roman" w:hAnsi="Arial" w:cs="Arial"/>
          <w:color w:val="222222"/>
          <w:sz w:val="24"/>
          <w:lang w:eastAsia="vi-VN"/>
        </w:rPr>
      </w:pPr>
      <w:r w:rsidRPr="00380A6A">
        <w:rPr>
          <w:rFonts w:ascii="Arial" w:eastAsia="Times New Roman" w:hAnsi="Arial" w:cs="Arial"/>
          <w:color w:val="222222"/>
          <w:sz w:val="24"/>
          <w:lang w:eastAsia="vi-VN"/>
        </w:rPr>
        <w:t>- Nhập “Mã Kiểm tra”: Là các ký tự hiển thị bên phải cho từng phiên giao dịch.</w:t>
      </w:r>
    </w:p>
    <w:p w:rsidR="00380A6A" w:rsidRPr="00380A6A" w:rsidRDefault="00380A6A" w:rsidP="00380A6A">
      <w:pPr>
        <w:spacing w:after="0" w:line="240" w:lineRule="auto"/>
        <w:ind w:firstLine="720"/>
        <w:jc w:val="both"/>
        <w:rPr>
          <w:rFonts w:ascii="Arial" w:eastAsia="Times New Roman" w:hAnsi="Arial" w:cs="Arial"/>
          <w:color w:val="222222"/>
          <w:sz w:val="24"/>
          <w:lang w:eastAsia="vi-VN"/>
        </w:rPr>
      </w:pPr>
      <w:r w:rsidRPr="00380A6A">
        <w:rPr>
          <w:rFonts w:ascii="Arial" w:eastAsia="Times New Roman" w:hAnsi="Arial" w:cs="Arial"/>
          <w:color w:val="222222"/>
          <w:sz w:val="24"/>
          <w:lang w:eastAsia="vi-VN"/>
        </w:rPr>
        <w:t>- Ấn nút “Tra cứu”.</w:t>
      </w:r>
    </w:p>
    <w:p w:rsidR="00380A6A" w:rsidRPr="00380A6A" w:rsidRDefault="00380A6A" w:rsidP="00380A6A">
      <w:pPr>
        <w:spacing w:after="0" w:line="240" w:lineRule="auto"/>
        <w:ind w:firstLine="720"/>
        <w:jc w:val="both"/>
        <w:rPr>
          <w:rFonts w:ascii="Arial" w:eastAsia="Times New Roman" w:hAnsi="Arial" w:cs="Arial"/>
          <w:color w:val="222222"/>
          <w:sz w:val="24"/>
          <w:lang w:eastAsia="vi-VN"/>
        </w:rPr>
      </w:pPr>
      <w:r w:rsidRPr="00380A6A">
        <w:rPr>
          <w:rFonts w:ascii="Arial" w:eastAsia="Times New Roman" w:hAnsi="Arial" w:cs="Arial"/>
          <w:color w:val="222222"/>
          <w:sz w:val="24"/>
          <w:lang w:eastAsia="vi-VN"/>
        </w:rPr>
        <w:t>- Màn hình hiển thị kết quả tra cứu, trong đó:</w:t>
      </w:r>
    </w:p>
    <w:p w:rsidR="00380A6A" w:rsidRPr="00380A6A" w:rsidRDefault="00380A6A" w:rsidP="00380A6A">
      <w:pPr>
        <w:spacing w:after="0" w:line="240" w:lineRule="auto"/>
        <w:ind w:firstLine="720"/>
        <w:jc w:val="both"/>
        <w:rPr>
          <w:rFonts w:ascii="Arial" w:eastAsia="Times New Roman" w:hAnsi="Arial" w:cs="Arial"/>
          <w:color w:val="222222"/>
          <w:sz w:val="24"/>
          <w:lang w:eastAsia="vi-VN"/>
        </w:rPr>
      </w:pPr>
      <w:r w:rsidRPr="00380A6A">
        <w:rPr>
          <w:rFonts w:ascii="Arial" w:eastAsia="Times New Roman" w:hAnsi="Arial" w:cs="Arial"/>
          <w:color w:val="222222"/>
          <w:sz w:val="24"/>
          <w:lang w:eastAsia="vi-VN"/>
        </w:rPr>
        <w:t>Trạng thái 00: NNT đã hoàn thành cập nhật số định danh làm MST.</w:t>
      </w:r>
    </w:p>
    <w:p w:rsidR="00380A6A" w:rsidRPr="00380A6A" w:rsidRDefault="00380A6A" w:rsidP="00380A6A">
      <w:pPr>
        <w:spacing w:after="120" w:line="240" w:lineRule="auto"/>
        <w:rPr>
          <w:rFonts w:ascii="Arial" w:eastAsia="Times New Roman" w:hAnsi="Arial" w:cs="Arial"/>
          <w:color w:val="222222"/>
          <w:sz w:val="24"/>
          <w:lang w:eastAsia="vi-VN"/>
        </w:rPr>
      </w:pPr>
      <w:r w:rsidRPr="00380A6A">
        <w:rPr>
          <w:rFonts w:ascii="Arial" w:eastAsia="Times New Roman" w:hAnsi="Arial" w:cs="Arial"/>
          <w:color w:val="222222"/>
          <w:sz w:val="24"/>
          <w:lang w:eastAsia="vi-VN"/>
        </w:rPr>
        <w:t>Trạng thái 10: “MST chờ cập nhật số định danh cá nhân”.</w:t>
      </w:r>
    </w:p>
    <w:p w:rsidR="00DF326C" w:rsidRDefault="00DF326C"/>
    <w:sectPr w:rsidR="00DF32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A6A"/>
    <w:rsid w:val="00380A6A"/>
    <w:rsid w:val="00DF326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D83328-0A07-47DB-9FD5-45432EC07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sz w:val="28"/>
        <w:szCs w:val="24"/>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352626">
      <w:bodyDiv w:val="1"/>
      <w:marLeft w:val="0"/>
      <w:marRight w:val="0"/>
      <w:marTop w:val="0"/>
      <w:marBottom w:val="0"/>
      <w:divBdr>
        <w:top w:val="none" w:sz="0" w:space="0" w:color="auto"/>
        <w:left w:val="none" w:sz="0" w:space="0" w:color="auto"/>
        <w:bottom w:val="none" w:sz="0" w:space="0" w:color="auto"/>
        <w:right w:val="none" w:sz="0" w:space="0" w:color="auto"/>
      </w:divBdr>
      <w:divsChild>
        <w:div w:id="2021617360">
          <w:marLeft w:val="0"/>
          <w:marRight w:val="0"/>
          <w:marTop w:val="120"/>
          <w:marBottom w:val="120"/>
          <w:divBdr>
            <w:top w:val="none" w:sz="0" w:space="0" w:color="auto"/>
            <w:left w:val="none" w:sz="0" w:space="0" w:color="auto"/>
            <w:bottom w:val="none" w:sz="0" w:space="0" w:color="auto"/>
            <w:right w:val="none" w:sz="0" w:space="0" w:color="auto"/>
          </w:divBdr>
        </w:div>
        <w:div w:id="815613526">
          <w:marLeft w:val="0"/>
          <w:marRight w:val="0"/>
          <w:marTop w:val="120"/>
          <w:marBottom w:val="120"/>
          <w:divBdr>
            <w:top w:val="none" w:sz="0" w:space="0" w:color="auto"/>
            <w:left w:val="none" w:sz="0" w:space="0" w:color="auto"/>
            <w:bottom w:val="none" w:sz="0" w:space="0" w:color="auto"/>
            <w:right w:val="none" w:sz="0" w:space="0" w:color="auto"/>
          </w:divBdr>
          <w:divsChild>
            <w:div w:id="1386641958">
              <w:marLeft w:val="0"/>
              <w:marRight w:val="0"/>
              <w:marTop w:val="0"/>
              <w:marBottom w:val="0"/>
              <w:divBdr>
                <w:top w:val="none" w:sz="0" w:space="0" w:color="auto"/>
                <w:left w:val="none" w:sz="0" w:space="0" w:color="auto"/>
                <w:bottom w:val="none" w:sz="0" w:space="0" w:color="auto"/>
                <w:right w:val="none" w:sz="0" w:space="0" w:color="auto"/>
              </w:divBdr>
            </w:div>
          </w:divsChild>
        </w:div>
        <w:div w:id="1840197693">
          <w:marLeft w:val="0"/>
          <w:marRight w:val="0"/>
          <w:marTop w:val="120"/>
          <w:marBottom w:val="120"/>
          <w:divBdr>
            <w:top w:val="none" w:sz="0" w:space="0" w:color="auto"/>
            <w:left w:val="none" w:sz="0" w:space="0" w:color="auto"/>
            <w:bottom w:val="none" w:sz="0" w:space="0" w:color="auto"/>
            <w:right w:val="none" w:sz="0" w:space="0" w:color="auto"/>
          </w:divBdr>
          <w:divsChild>
            <w:div w:id="2066290299">
              <w:marLeft w:val="0"/>
              <w:marRight w:val="0"/>
              <w:marTop w:val="0"/>
              <w:marBottom w:val="0"/>
              <w:divBdr>
                <w:top w:val="none" w:sz="0" w:space="0" w:color="auto"/>
                <w:left w:val="none" w:sz="0" w:space="0" w:color="auto"/>
                <w:bottom w:val="none" w:sz="0" w:space="0" w:color="auto"/>
                <w:right w:val="none" w:sz="0" w:space="0" w:color="auto"/>
              </w:divBdr>
            </w:div>
          </w:divsChild>
        </w:div>
        <w:div w:id="1190414273">
          <w:marLeft w:val="0"/>
          <w:marRight w:val="0"/>
          <w:marTop w:val="120"/>
          <w:marBottom w:val="120"/>
          <w:divBdr>
            <w:top w:val="none" w:sz="0" w:space="0" w:color="auto"/>
            <w:left w:val="none" w:sz="0" w:space="0" w:color="auto"/>
            <w:bottom w:val="none" w:sz="0" w:space="0" w:color="auto"/>
            <w:right w:val="none" w:sz="0" w:space="0" w:color="auto"/>
          </w:divBdr>
          <w:divsChild>
            <w:div w:id="488716464">
              <w:marLeft w:val="0"/>
              <w:marRight w:val="0"/>
              <w:marTop w:val="0"/>
              <w:marBottom w:val="0"/>
              <w:divBdr>
                <w:top w:val="none" w:sz="0" w:space="0" w:color="auto"/>
                <w:left w:val="none" w:sz="0" w:space="0" w:color="auto"/>
                <w:bottom w:val="none" w:sz="0" w:space="0" w:color="auto"/>
                <w:right w:val="none" w:sz="0" w:space="0" w:color="auto"/>
              </w:divBdr>
            </w:div>
          </w:divsChild>
        </w:div>
        <w:div w:id="874272131">
          <w:marLeft w:val="0"/>
          <w:marRight w:val="0"/>
          <w:marTop w:val="120"/>
          <w:marBottom w:val="120"/>
          <w:divBdr>
            <w:top w:val="none" w:sz="0" w:space="0" w:color="auto"/>
            <w:left w:val="none" w:sz="0" w:space="0" w:color="auto"/>
            <w:bottom w:val="none" w:sz="0" w:space="0" w:color="auto"/>
            <w:right w:val="none" w:sz="0" w:space="0" w:color="auto"/>
          </w:divBdr>
          <w:divsChild>
            <w:div w:id="1431270820">
              <w:marLeft w:val="0"/>
              <w:marRight w:val="0"/>
              <w:marTop w:val="0"/>
              <w:marBottom w:val="0"/>
              <w:divBdr>
                <w:top w:val="none" w:sz="0" w:space="0" w:color="auto"/>
                <w:left w:val="none" w:sz="0" w:space="0" w:color="auto"/>
                <w:bottom w:val="none" w:sz="0" w:space="0" w:color="auto"/>
                <w:right w:val="none" w:sz="0" w:space="0" w:color="auto"/>
              </w:divBdr>
            </w:div>
          </w:divsChild>
        </w:div>
        <w:div w:id="140586850">
          <w:marLeft w:val="0"/>
          <w:marRight w:val="0"/>
          <w:marTop w:val="120"/>
          <w:marBottom w:val="120"/>
          <w:divBdr>
            <w:top w:val="none" w:sz="0" w:space="0" w:color="auto"/>
            <w:left w:val="none" w:sz="0" w:space="0" w:color="auto"/>
            <w:bottom w:val="none" w:sz="0" w:space="0" w:color="auto"/>
            <w:right w:val="none" w:sz="0" w:space="0" w:color="auto"/>
          </w:divBdr>
          <w:divsChild>
            <w:div w:id="827941878">
              <w:marLeft w:val="0"/>
              <w:marRight w:val="0"/>
              <w:marTop w:val="0"/>
              <w:marBottom w:val="0"/>
              <w:divBdr>
                <w:top w:val="none" w:sz="0" w:space="0" w:color="auto"/>
                <w:left w:val="none" w:sz="0" w:space="0" w:color="auto"/>
                <w:bottom w:val="none" w:sz="0" w:space="0" w:color="auto"/>
                <w:right w:val="none" w:sz="0" w:space="0" w:color="auto"/>
              </w:divBdr>
            </w:div>
          </w:divsChild>
        </w:div>
        <w:div w:id="33584336">
          <w:marLeft w:val="0"/>
          <w:marRight w:val="0"/>
          <w:marTop w:val="120"/>
          <w:marBottom w:val="120"/>
          <w:divBdr>
            <w:top w:val="none" w:sz="0" w:space="0" w:color="auto"/>
            <w:left w:val="none" w:sz="0" w:space="0" w:color="auto"/>
            <w:bottom w:val="none" w:sz="0" w:space="0" w:color="auto"/>
            <w:right w:val="none" w:sz="0" w:space="0" w:color="auto"/>
          </w:divBdr>
          <w:divsChild>
            <w:div w:id="1602644439">
              <w:marLeft w:val="0"/>
              <w:marRight w:val="0"/>
              <w:marTop w:val="0"/>
              <w:marBottom w:val="0"/>
              <w:divBdr>
                <w:top w:val="none" w:sz="0" w:space="0" w:color="auto"/>
                <w:left w:val="none" w:sz="0" w:space="0" w:color="auto"/>
                <w:bottom w:val="none" w:sz="0" w:space="0" w:color="auto"/>
                <w:right w:val="none" w:sz="0" w:space="0" w:color="auto"/>
              </w:divBdr>
            </w:div>
          </w:divsChild>
        </w:div>
        <w:div w:id="376202673">
          <w:marLeft w:val="0"/>
          <w:marRight w:val="0"/>
          <w:marTop w:val="120"/>
          <w:marBottom w:val="120"/>
          <w:divBdr>
            <w:top w:val="none" w:sz="0" w:space="0" w:color="auto"/>
            <w:left w:val="none" w:sz="0" w:space="0" w:color="auto"/>
            <w:bottom w:val="none" w:sz="0" w:space="0" w:color="auto"/>
            <w:right w:val="none" w:sz="0" w:space="0" w:color="auto"/>
          </w:divBdr>
          <w:divsChild>
            <w:div w:id="1982079556">
              <w:marLeft w:val="0"/>
              <w:marRight w:val="0"/>
              <w:marTop w:val="0"/>
              <w:marBottom w:val="0"/>
              <w:divBdr>
                <w:top w:val="none" w:sz="0" w:space="0" w:color="auto"/>
                <w:left w:val="none" w:sz="0" w:space="0" w:color="auto"/>
                <w:bottom w:val="none" w:sz="0" w:space="0" w:color="auto"/>
                <w:right w:val="none" w:sz="0" w:space="0" w:color="auto"/>
              </w:divBdr>
            </w:div>
          </w:divsChild>
        </w:div>
        <w:div w:id="86923751">
          <w:marLeft w:val="0"/>
          <w:marRight w:val="0"/>
          <w:marTop w:val="120"/>
          <w:marBottom w:val="120"/>
          <w:divBdr>
            <w:top w:val="none" w:sz="0" w:space="0" w:color="auto"/>
            <w:left w:val="none" w:sz="0" w:space="0" w:color="auto"/>
            <w:bottom w:val="none" w:sz="0" w:space="0" w:color="auto"/>
            <w:right w:val="none" w:sz="0" w:space="0" w:color="auto"/>
          </w:divBdr>
          <w:divsChild>
            <w:div w:id="1588491883">
              <w:marLeft w:val="0"/>
              <w:marRight w:val="0"/>
              <w:marTop w:val="0"/>
              <w:marBottom w:val="0"/>
              <w:divBdr>
                <w:top w:val="none" w:sz="0" w:space="0" w:color="auto"/>
                <w:left w:val="none" w:sz="0" w:space="0" w:color="auto"/>
                <w:bottom w:val="none" w:sz="0" w:space="0" w:color="auto"/>
                <w:right w:val="none" w:sz="0" w:space="0" w:color="auto"/>
              </w:divBdr>
            </w:div>
          </w:divsChild>
        </w:div>
        <w:div w:id="55325431">
          <w:marLeft w:val="0"/>
          <w:marRight w:val="0"/>
          <w:marTop w:val="120"/>
          <w:marBottom w:val="120"/>
          <w:divBdr>
            <w:top w:val="none" w:sz="0" w:space="0" w:color="auto"/>
            <w:left w:val="none" w:sz="0" w:space="0" w:color="auto"/>
            <w:bottom w:val="none" w:sz="0" w:space="0" w:color="auto"/>
            <w:right w:val="none" w:sz="0" w:space="0" w:color="auto"/>
          </w:divBdr>
        </w:div>
        <w:div w:id="1547251136">
          <w:marLeft w:val="0"/>
          <w:marRight w:val="0"/>
          <w:marTop w:val="120"/>
          <w:marBottom w:val="120"/>
          <w:divBdr>
            <w:top w:val="none" w:sz="0" w:space="0" w:color="auto"/>
            <w:left w:val="none" w:sz="0" w:space="0" w:color="auto"/>
            <w:bottom w:val="none" w:sz="0" w:space="0" w:color="auto"/>
            <w:right w:val="none" w:sz="0" w:space="0" w:color="auto"/>
          </w:divBdr>
          <w:divsChild>
            <w:div w:id="1117213107">
              <w:marLeft w:val="0"/>
              <w:marRight w:val="0"/>
              <w:marTop w:val="0"/>
              <w:marBottom w:val="0"/>
              <w:divBdr>
                <w:top w:val="none" w:sz="0" w:space="0" w:color="auto"/>
                <w:left w:val="none" w:sz="0" w:space="0" w:color="auto"/>
                <w:bottom w:val="none" w:sz="0" w:space="0" w:color="auto"/>
                <w:right w:val="none" w:sz="0" w:space="0" w:color="auto"/>
              </w:divBdr>
            </w:div>
          </w:divsChild>
        </w:div>
        <w:div w:id="1265579125">
          <w:marLeft w:val="0"/>
          <w:marRight w:val="0"/>
          <w:marTop w:val="120"/>
          <w:marBottom w:val="120"/>
          <w:divBdr>
            <w:top w:val="none" w:sz="0" w:space="0" w:color="auto"/>
            <w:left w:val="none" w:sz="0" w:space="0" w:color="auto"/>
            <w:bottom w:val="none" w:sz="0" w:space="0" w:color="auto"/>
            <w:right w:val="none" w:sz="0" w:space="0" w:color="auto"/>
          </w:divBdr>
          <w:divsChild>
            <w:div w:id="575165651">
              <w:marLeft w:val="0"/>
              <w:marRight w:val="0"/>
              <w:marTop w:val="0"/>
              <w:marBottom w:val="0"/>
              <w:divBdr>
                <w:top w:val="none" w:sz="0" w:space="0" w:color="auto"/>
                <w:left w:val="none" w:sz="0" w:space="0" w:color="auto"/>
                <w:bottom w:val="none" w:sz="0" w:space="0" w:color="auto"/>
                <w:right w:val="none" w:sz="0" w:space="0" w:color="auto"/>
              </w:divBdr>
            </w:div>
          </w:divsChild>
        </w:div>
        <w:div w:id="788279932">
          <w:marLeft w:val="0"/>
          <w:marRight w:val="0"/>
          <w:marTop w:val="120"/>
          <w:marBottom w:val="120"/>
          <w:divBdr>
            <w:top w:val="none" w:sz="0" w:space="0" w:color="auto"/>
            <w:left w:val="none" w:sz="0" w:space="0" w:color="auto"/>
            <w:bottom w:val="none" w:sz="0" w:space="0" w:color="auto"/>
            <w:right w:val="none" w:sz="0" w:space="0" w:color="auto"/>
          </w:divBdr>
          <w:divsChild>
            <w:div w:id="1930652827">
              <w:marLeft w:val="0"/>
              <w:marRight w:val="0"/>
              <w:marTop w:val="0"/>
              <w:marBottom w:val="0"/>
              <w:divBdr>
                <w:top w:val="none" w:sz="0" w:space="0" w:color="auto"/>
                <w:left w:val="none" w:sz="0" w:space="0" w:color="auto"/>
                <w:bottom w:val="none" w:sz="0" w:space="0" w:color="auto"/>
                <w:right w:val="none" w:sz="0" w:space="0" w:color="auto"/>
              </w:divBdr>
            </w:div>
          </w:divsChild>
        </w:div>
        <w:div w:id="1395739903">
          <w:marLeft w:val="0"/>
          <w:marRight w:val="0"/>
          <w:marTop w:val="120"/>
          <w:marBottom w:val="120"/>
          <w:divBdr>
            <w:top w:val="none" w:sz="0" w:space="0" w:color="auto"/>
            <w:left w:val="none" w:sz="0" w:space="0" w:color="auto"/>
            <w:bottom w:val="none" w:sz="0" w:space="0" w:color="auto"/>
            <w:right w:val="none" w:sz="0" w:space="0" w:color="auto"/>
          </w:divBdr>
        </w:div>
        <w:div w:id="1111971898">
          <w:marLeft w:val="0"/>
          <w:marRight w:val="0"/>
          <w:marTop w:val="120"/>
          <w:marBottom w:val="120"/>
          <w:divBdr>
            <w:top w:val="none" w:sz="0" w:space="0" w:color="auto"/>
            <w:left w:val="none" w:sz="0" w:space="0" w:color="auto"/>
            <w:bottom w:val="none" w:sz="0" w:space="0" w:color="auto"/>
            <w:right w:val="none" w:sz="0" w:space="0" w:color="auto"/>
          </w:divBdr>
          <w:divsChild>
            <w:div w:id="12339517">
              <w:marLeft w:val="0"/>
              <w:marRight w:val="0"/>
              <w:marTop w:val="0"/>
              <w:marBottom w:val="0"/>
              <w:divBdr>
                <w:top w:val="none" w:sz="0" w:space="0" w:color="auto"/>
                <w:left w:val="none" w:sz="0" w:space="0" w:color="auto"/>
                <w:bottom w:val="none" w:sz="0" w:space="0" w:color="auto"/>
                <w:right w:val="none" w:sz="0" w:space="0" w:color="auto"/>
              </w:divBdr>
            </w:div>
          </w:divsChild>
        </w:div>
        <w:div w:id="1062951271">
          <w:marLeft w:val="0"/>
          <w:marRight w:val="0"/>
          <w:marTop w:val="120"/>
          <w:marBottom w:val="120"/>
          <w:divBdr>
            <w:top w:val="none" w:sz="0" w:space="0" w:color="auto"/>
            <w:left w:val="none" w:sz="0" w:space="0" w:color="auto"/>
            <w:bottom w:val="none" w:sz="0" w:space="0" w:color="auto"/>
            <w:right w:val="none" w:sz="0" w:space="0" w:color="auto"/>
          </w:divBdr>
          <w:divsChild>
            <w:div w:id="974523871">
              <w:marLeft w:val="0"/>
              <w:marRight w:val="0"/>
              <w:marTop w:val="0"/>
              <w:marBottom w:val="0"/>
              <w:divBdr>
                <w:top w:val="none" w:sz="0" w:space="0" w:color="auto"/>
                <w:left w:val="none" w:sz="0" w:space="0" w:color="auto"/>
                <w:bottom w:val="none" w:sz="0" w:space="0" w:color="auto"/>
                <w:right w:val="none" w:sz="0" w:space="0" w:color="auto"/>
              </w:divBdr>
            </w:div>
          </w:divsChild>
        </w:div>
        <w:div w:id="1820802962">
          <w:marLeft w:val="0"/>
          <w:marRight w:val="0"/>
          <w:marTop w:val="120"/>
          <w:marBottom w:val="120"/>
          <w:divBdr>
            <w:top w:val="none" w:sz="0" w:space="0" w:color="auto"/>
            <w:left w:val="none" w:sz="0" w:space="0" w:color="auto"/>
            <w:bottom w:val="none" w:sz="0" w:space="0" w:color="auto"/>
            <w:right w:val="none" w:sz="0" w:space="0" w:color="auto"/>
          </w:divBdr>
          <w:divsChild>
            <w:div w:id="2007399579">
              <w:marLeft w:val="0"/>
              <w:marRight w:val="0"/>
              <w:marTop w:val="0"/>
              <w:marBottom w:val="0"/>
              <w:divBdr>
                <w:top w:val="none" w:sz="0" w:space="0" w:color="auto"/>
                <w:left w:val="none" w:sz="0" w:space="0" w:color="auto"/>
                <w:bottom w:val="none" w:sz="0" w:space="0" w:color="auto"/>
                <w:right w:val="none" w:sz="0" w:space="0" w:color="auto"/>
              </w:divBdr>
            </w:div>
          </w:divsChild>
        </w:div>
        <w:div w:id="2078281654">
          <w:marLeft w:val="0"/>
          <w:marRight w:val="0"/>
          <w:marTop w:val="120"/>
          <w:marBottom w:val="120"/>
          <w:divBdr>
            <w:top w:val="none" w:sz="0" w:space="0" w:color="auto"/>
            <w:left w:val="none" w:sz="0" w:space="0" w:color="auto"/>
            <w:bottom w:val="none" w:sz="0" w:space="0" w:color="auto"/>
            <w:right w:val="none" w:sz="0" w:space="0" w:color="auto"/>
          </w:divBdr>
          <w:divsChild>
            <w:div w:id="1882597355">
              <w:marLeft w:val="0"/>
              <w:marRight w:val="0"/>
              <w:marTop w:val="0"/>
              <w:marBottom w:val="0"/>
              <w:divBdr>
                <w:top w:val="none" w:sz="0" w:space="0" w:color="auto"/>
                <w:left w:val="none" w:sz="0" w:space="0" w:color="auto"/>
                <w:bottom w:val="none" w:sz="0" w:space="0" w:color="auto"/>
                <w:right w:val="none" w:sz="0" w:space="0" w:color="auto"/>
              </w:divBdr>
            </w:div>
          </w:divsChild>
        </w:div>
        <w:div w:id="2075083435">
          <w:marLeft w:val="0"/>
          <w:marRight w:val="0"/>
          <w:marTop w:val="120"/>
          <w:marBottom w:val="120"/>
          <w:divBdr>
            <w:top w:val="none" w:sz="0" w:space="0" w:color="auto"/>
            <w:left w:val="none" w:sz="0" w:space="0" w:color="auto"/>
            <w:bottom w:val="none" w:sz="0" w:space="0" w:color="auto"/>
            <w:right w:val="none" w:sz="0" w:space="0" w:color="auto"/>
          </w:divBdr>
          <w:divsChild>
            <w:div w:id="1254168514">
              <w:marLeft w:val="0"/>
              <w:marRight w:val="0"/>
              <w:marTop w:val="0"/>
              <w:marBottom w:val="0"/>
              <w:divBdr>
                <w:top w:val="none" w:sz="0" w:space="0" w:color="auto"/>
                <w:left w:val="none" w:sz="0" w:space="0" w:color="auto"/>
                <w:bottom w:val="none" w:sz="0" w:space="0" w:color="auto"/>
                <w:right w:val="none" w:sz="0" w:space="0" w:color="auto"/>
              </w:divBdr>
            </w:div>
          </w:divsChild>
        </w:div>
        <w:div w:id="51587810">
          <w:marLeft w:val="0"/>
          <w:marRight w:val="0"/>
          <w:marTop w:val="120"/>
          <w:marBottom w:val="120"/>
          <w:divBdr>
            <w:top w:val="none" w:sz="0" w:space="0" w:color="auto"/>
            <w:left w:val="none" w:sz="0" w:space="0" w:color="auto"/>
            <w:bottom w:val="none" w:sz="0" w:space="0" w:color="auto"/>
            <w:right w:val="none" w:sz="0" w:space="0" w:color="auto"/>
          </w:divBdr>
          <w:divsChild>
            <w:div w:id="955864540">
              <w:marLeft w:val="0"/>
              <w:marRight w:val="0"/>
              <w:marTop w:val="0"/>
              <w:marBottom w:val="0"/>
              <w:divBdr>
                <w:top w:val="none" w:sz="0" w:space="0" w:color="auto"/>
                <w:left w:val="none" w:sz="0" w:space="0" w:color="auto"/>
                <w:bottom w:val="none" w:sz="0" w:space="0" w:color="auto"/>
                <w:right w:val="none" w:sz="0" w:space="0" w:color="auto"/>
              </w:divBdr>
            </w:div>
          </w:divsChild>
        </w:div>
        <w:div w:id="640573660">
          <w:marLeft w:val="0"/>
          <w:marRight w:val="0"/>
          <w:marTop w:val="120"/>
          <w:marBottom w:val="120"/>
          <w:divBdr>
            <w:top w:val="none" w:sz="0" w:space="0" w:color="auto"/>
            <w:left w:val="none" w:sz="0" w:space="0" w:color="auto"/>
            <w:bottom w:val="none" w:sz="0" w:space="0" w:color="auto"/>
            <w:right w:val="none" w:sz="0" w:space="0" w:color="auto"/>
          </w:divBdr>
          <w:divsChild>
            <w:div w:id="1139347168">
              <w:marLeft w:val="0"/>
              <w:marRight w:val="0"/>
              <w:marTop w:val="0"/>
              <w:marBottom w:val="0"/>
              <w:divBdr>
                <w:top w:val="none" w:sz="0" w:space="0" w:color="auto"/>
                <w:left w:val="none" w:sz="0" w:space="0" w:color="auto"/>
                <w:bottom w:val="none" w:sz="0" w:space="0" w:color="auto"/>
                <w:right w:val="none" w:sz="0" w:space="0" w:color="auto"/>
              </w:divBdr>
            </w:div>
          </w:divsChild>
        </w:div>
        <w:div w:id="1490899825">
          <w:marLeft w:val="0"/>
          <w:marRight w:val="0"/>
          <w:marTop w:val="120"/>
          <w:marBottom w:val="120"/>
          <w:divBdr>
            <w:top w:val="none" w:sz="0" w:space="0" w:color="auto"/>
            <w:left w:val="none" w:sz="0" w:space="0" w:color="auto"/>
            <w:bottom w:val="none" w:sz="0" w:space="0" w:color="auto"/>
            <w:right w:val="none" w:sz="0" w:space="0" w:color="auto"/>
          </w:divBdr>
          <w:divsChild>
            <w:div w:id="1800681842">
              <w:marLeft w:val="0"/>
              <w:marRight w:val="0"/>
              <w:marTop w:val="0"/>
              <w:marBottom w:val="0"/>
              <w:divBdr>
                <w:top w:val="none" w:sz="0" w:space="0" w:color="auto"/>
                <w:left w:val="none" w:sz="0" w:space="0" w:color="auto"/>
                <w:bottom w:val="none" w:sz="0" w:space="0" w:color="auto"/>
                <w:right w:val="none" w:sz="0" w:space="0" w:color="auto"/>
              </w:divBdr>
            </w:div>
          </w:divsChild>
        </w:div>
        <w:div w:id="1495996555">
          <w:marLeft w:val="0"/>
          <w:marRight w:val="0"/>
          <w:marTop w:val="120"/>
          <w:marBottom w:val="120"/>
          <w:divBdr>
            <w:top w:val="none" w:sz="0" w:space="0" w:color="auto"/>
            <w:left w:val="none" w:sz="0" w:space="0" w:color="auto"/>
            <w:bottom w:val="none" w:sz="0" w:space="0" w:color="auto"/>
            <w:right w:val="none" w:sz="0" w:space="0" w:color="auto"/>
          </w:divBdr>
          <w:divsChild>
            <w:div w:id="752581713">
              <w:marLeft w:val="0"/>
              <w:marRight w:val="0"/>
              <w:marTop w:val="0"/>
              <w:marBottom w:val="0"/>
              <w:divBdr>
                <w:top w:val="none" w:sz="0" w:space="0" w:color="auto"/>
                <w:left w:val="none" w:sz="0" w:space="0" w:color="auto"/>
                <w:bottom w:val="none" w:sz="0" w:space="0" w:color="auto"/>
                <w:right w:val="none" w:sz="0" w:space="0" w:color="auto"/>
              </w:divBdr>
            </w:div>
          </w:divsChild>
        </w:div>
        <w:div w:id="615908820">
          <w:marLeft w:val="0"/>
          <w:marRight w:val="0"/>
          <w:marTop w:val="120"/>
          <w:marBottom w:val="120"/>
          <w:divBdr>
            <w:top w:val="none" w:sz="0" w:space="0" w:color="auto"/>
            <w:left w:val="none" w:sz="0" w:space="0" w:color="auto"/>
            <w:bottom w:val="none" w:sz="0" w:space="0" w:color="auto"/>
            <w:right w:val="none" w:sz="0" w:space="0" w:color="auto"/>
          </w:divBdr>
        </w:div>
        <w:div w:id="1556308901">
          <w:marLeft w:val="0"/>
          <w:marRight w:val="0"/>
          <w:marTop w:val="120"/>
          <w:marBottom w:val="120"/>
          <w:divBdr>
            <w:top w:val="none" w:sz="0" w:space="0" w:color="auto"/>
            <w:left w:val="none" w:sz="0" w:space="0" w:color="auto"/>
            <w:bottom w:val="none" w:sz="0" w:space="0" w:color="auto"/>
            <w:right w:val="none" w:sz="0" w:space="0" w:color="auto"/>
          </w:divBdr>
          <w:divsChild>
            <w:div w:id="379716520">
              <w:marLeft w:val="0"/>
              <w:marRight w:val="0"/>
              <w:marTop w:val="0"/>
              <w:marBottom w:val="0"/>
              <w:divBdr>
                <w:top w:val="none" w:sz="0" w:space="0" w:color="auto"/>
                <w:left w:val="none" w:sz="0" w:space="0" w:color="auto"/>
                <w:bottom w:val="none" w:sz="0" w:space="0" w:color="auto"/>
                <w:right w:val="none" w:sz="0" w:space="0" w:color="auto"/>
              </w:divBdr>
            </w:div>
          </w:divsChild>
        </w:div>
        <w:div w:id="1321691418">
          <w:marLeft w:val="0"/>
          <w:marRight w:val="0"/>
          <w:marTop w:val="120"/>
          <w:marBottom w:val="120"/>
          <w:divBdr>
            <w:top w:val="none" w:sz="0" w:space="0" w:color="auto"/>
            <w:left w:val="none" w:sz="0" w:space="0" w:color="auto"/>
            <w:bottom w:val="none" w:sz="0" w:space="0" w:color="auto"/>
            <w:right w:val="none" w:sz="0" w:space="0" w:color="auto"/>
          </w:divBdr>
          <w:divsChild>
            <w:div w:id="1352417350">
              <w:marLeft w:val="0"/>
              <w:marRight w:val="0"/>
              <w:marTop w:val="0"/>
              <w:marBottom w:val="0"/>
              <w:divBdr>
                <w:top w:val="none" w:sz="0" w:space="0" w:color="auto"/>
                <w:left w:val="none" w:sz="0" w:space="0" w:color="auto"/>
                <w:bottom w:val="none" w:sz="0" w:space="0" w:color="auto"/>
                <w:right w:val="none" w:sz="0" w:space="0" w:color="auto"/>
              </w:divBdr>
            </w:div>
          </w:divsChild>
        </w:div>
        <w:div w:id="1702240072">
          <w:marLeft w:val="0"/>
          <w:marRight w:val="0"/>
          <w:marTop w:val="120"/>
          <w:marBottom w:val="120"/>
          <w:divBdr>
            <w:top w:val="none" w:sz="0" w:space="0" w:color="auto"/>
            <w:left w:val="none" w:sz="0" w:space="0" w:color="auto"/>
            <w:bottom w:val="none" w:sz="0" w:space="0" w:color="auto"/>
            <w:right w:val="none" w:sz="0" w:space="0" w:color="auto"/>
          </w:divBdr>
          <w:divsChild>
            <w:div w:id="1054767335">
              <w:marLeft w:val="0"/>
              <w:marRight w:val="0"/>
              <w:marTop w:val="0"/>
              <w:marBottom w:val="0"/>
              <w:divBdr>
                <w:top w:val="none" w:sz="0" w:space="0" w:color="auto"/>
                <w:left w:val="none" w:sz="0" w:space="0" w:color="auto"/>
                <w:bottom w:val="none" w:sz="0" w:space="0" w:color="auto"/>
                <w:right w:val="none" w:sz="0" w:space="0" w:color="auto"/>
              </w:divBdr>
            </w:div>
          </w:divsChild>
        </w:div>
        <w:div w:id="302851568">
          <w:marLeft w:val="0"/>
          <w:marRight w:val="0"/>
          <w:marTop w:val="120"/>
          <w:marBottom w:val="120"/>
          <w:divBdr>
            <w:top w:val="none" w:sz="0" w:space="0" w:color="auto"/>
            <w:left w:val="none" w:sz="0" w:space="0" w:color="auto"/>
            <w:bottom w:val="none" w:sz="0" w:space="0" w:color="auto"/>
            <w:right w:val="none" w:sz="0" w:space="0" w:color="auto"/>
          </w:divBdr>
          <w:divsChild>
            <w:div w:id="211502849">
              <w:marLeft w:val="0"/>
              <w:marRight w:val="0"/>
              <w:marTop w:val="0"/>
              <w:marBottom w:val="0"/>
              <w:divBdr>
                <w:top w:val="none" w:sz="0" w:space="0" w:color="auto"/>
                <w:left w:val="none" w:sz="0" w:space="0" w:color="auto"/>
                <w:bottom w:val="none" w:sz="0" w:space="0" w:color="auto"/>
                <w:right w:val="none" w:sz="0" w:space="0" w:color="auto"/>
              </w:divBdr>
            </w:div>
          </w:divsChild>
        </w:div>
        <w:div w:id="1250384230">
          <w:marLeft w:val="0"/>
          <w:marRight w:val="0"/>
          <w:marTop w:val="120"/>
          <w:marBottom w:val="120"/>
          <w:divBdr>
            <w:top w:val="none" w:sz="0" w:space="0" w:color="auto"/>
            <w:left w:val="none" w:sz="0" w:space="0" w:color="auto"/>
            <w:bottom w:val="none" w:sz="0" w:space="0" w:color="auto"/>
            <w:right w:val="none" w:sz="0" w:space="0" w:color="auto"/>
          </w:divBdr>
          <w:divsChild>
            <w:div w:id="2034065036">
              <w:marLeft w:val="0"/>
              <w:marRight w:val="0"/>
              <w:marTop w:val="0"/>
              <w:marBottom w:val="0"/>
              <w:divBdr>
                <w:top w:val="none" w:sz="0" w:space="0" w:color="auto"/>
                <w:left w:val="none" w:sz="0" w:space="0" w:color="auto"/>
                <w:bottom w:val="none" w:sz="0" w:space="0" w:color="auto"/>
                <w:right w:val="none" w:sz="0" w:space="0" w:color="auto"/>
              </w:divBdr>
            </w:div>
          </w:divsChild>
        </w:div>
        <w:div w:id="1996183505">
          <w:marLeft w:val="0"/>
          <w:marRight w:val="0"/>
          <w:marTop w:val="120"/>
          <w:marBottom w:val="120"/>
          <w:divBdr>
            <w:top w:val="none" w:sz="0" w:space="0" w:color="auto"/>
            <w:left w:val="none" w:sz="0" w:space="0" w:color="auto"/>
            <w:bottom w:val="none" w:sz="0" w:space="0" w:color="auto"/>
            <w:right w:val="none" w:sz="0" w:space="0" w:color="auto"/>
          </w:divBdr>
        </w:div>
        <w:div w:id="446042801">
          <w:marLeft w:val="0"/>
          <w:marRight w:val="0"/>
          <w:marTop w:val="120"/>
          <w:marBottom w:val="120"/>
          <w:divBdr>
            <w:top w:val="none" w:sz="0" w:space="0" w:color="auto"/>
            <w:left w:val="none" w:sz="0" w:space="0" w:color="auto"/>
            <w:bottom w:val="none" w:sz="0" w:space="0" w:color="auto"/>
            <w:right w:val="none" w:sz="0" w:space="0" w:color="auto"/>
          </w:divBdr>
        </w:div>
        <w:div w:id="225143325">
          <w:marLeft w:val="0"/>
          <w:marRight w:val="0"/>
          <w:marTop w:val="120"/>
          <w:marBottom w:val="120"/>
          <w:divBdr>
            <w:top w:val="none" w:sz="0" w:space="0" w:color="auto"/>
            <w:left w:val="none" w:sz="0" w:space="0" w:color="auto"/>
            <w:bottom w:val="none" w:sz="0" w:space="0" w:color="auto"/>
            <w:right w:val="none" w:sz="0" w:space="0" w:color="auto"/>
          </w:divBdr>
        </w:div>
        <w:div w:id="353922328">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luatvietnam.vn/thue/thong-tu-86-2024-tt-btc-cua-bo-tai-chinh-quy-dinh-ve-dang-ky-thue-382319-d1.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2386</Words>
  <Characters>13606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15961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2026-06-04T03:49:00Z</dcterms:created>
  <dcterms:modified xsi:type="dcterms:W3CDTF">2026-06-04T03:51:00Z</dcterms:modified>
</cp:coreProperties>
</file>